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
        <w:spacing w:before="0" w:after="0"/>
        <w:rPr>
          <w:rFonts w:ascii="Times New Roman Bold" w:hAnsi="Times New Roman Bold" w:cs="Times New Roman Bold"/>
          <w:caps/>
          <w:sz w:val="28"/>
        </w:rPr>
      </w:pPr>
      <w:r>
        <w:rPr>
          <w:rFonts w:cs="Times New Roman Bold" w:ascii="Times New Roman Bold" w:hAnsi="Times New Roman Bold"/>
          <w:sz w:val="28"/>
        </w:rPr>
        <w:t>Renewable Energy Purchase Agreement</w:t>
      </w:r>
    </w:p>
    <w:p>
      <w:pPr>
        <w:pStyle w:val="BodyText"/>
        <w:rPr/>
      </w:pPr>
      <w:r>
        <w:rPr/>
        <w:t>This Renewable Energy Purchase Agreement ("</w:t>
      </w:r>
      <w:r>
        <w:rPr>
          <w:u w:val="single"/>
        </w:rPr>
        <w:t>Agreement</w:t>
      </w:r>
      <w:r>
        <w:rPr/>
        <w:t>") dated as of _____________, 2000 (the "</w:t>
      </w:r>
      <w:r>
        <w:rPr>
          <w:u w:val="single"/>
        </w:rPr>
        <w:t>Signing Date</w:t>
      </w:r>
      <w:r>
        <w:rPr/>
        <w:t xml:space="preserve">"), is between </w:t>
      </w:r>
      <w:r>
        <w:rPr>
          <w:b/>
        </w:rPr>
        <w:t>Enron Power Marketing, Inc.</w:t>
      </w:r>
      <w:r>
        <w:rPr/>
        <w:t>, a __________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
        <w:ind w:hanging="0" w:end="0"/>
        <w:jc w:val="center"/>
        <w:rPr>
          <w:b/>
        </w:rPr>
      </w:pPr>
      <w:r>
        <w:rPr>
          <w:b/>
        </w:rPr>
        <w:t>R E C I T A L S</w:t>
      </w:r>
    </w:p>
    <w:p>
      <w:pPr>
        <w:pStyle w:val="BodyText"/>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
        <w:rPr/>
      </w:pPr>
      <w:r>
        <w:rPr>
          <w:b/>
        </w:rPr>
        <w:t>WHEREAS</w:t>
      </w:r>
      <w:r>
        <w:rPr/>
        <w:t>, Seller and Purchaser mutually desire to enter into this Agreement whereby Seller shall sell and Purchaser shall purchase the electric renewable energy and related renewable energy credits (such credits, as broadly described in Section 4.01 hereof, the "</w:t>
      </w:r>
      <w:r>
        <w:rPr>
          <w:u w:val="single"/>
        </w:rPr>
        <w:t>RECs</w:t>
      </w:r>
      <w:r>
        <w:rPr/>
        <w:t>") from such wind power project;</w:t>
      </w:r>
    </w:p>
    <w:p>
      <w:pPr>
        <w:pStyle w:val="BodyText"/>
        <w:rPr/>
      </w:pPr>
      <w:r>
        <w:rPr>
          <w:b/>
        </w:rPr>
        <w:t>NOW, THEREFORE</w:t>
      </w:r>
      <w:r>
        <w:rPr/>
        <w:t>, for good and valuable consideration, the receipt and adequacy of which is hereby acknowledged, the Parties agree as follows:</w:t>
      </w:r>
    </w:p>
    <w:p>
      <w:pPr>
        <w:pStyle w:val="ArticleL1"/>
        <w:numPr>
          <w:ilvl w:val="0"/>
          <w:numId w:val="3"/>
        </w:numPr>
        <w:ind w:hanging="0" w:start="0"/>
        <w:rPr/>
      </w:pPr>
      <w:bookmarkStart w:id="0" w:name="__RefHeading___Toc489421183"/>
      <w:bookmarkEnd w:id="0"/>
      <w:r>
        <w:rPr/>
        <w:t>Term</w:t>
      </w:r>
    </w:p>
    <w:p>
      <w:pPr>
        <w:pStyle w:val="ArticleL2"/>
        <w:numPr>
          <w:ilvl w:val="0"/>
          <w:numId w:val="0"/>
        </w:numPr>
        <w:tabs>
          <w:tab w:val="clear" w:pos="1584"/>
          <w:tab w:val="left" w:pos="1440" w:leader="none"/>
        </w:tabs>
        <w:ind w:hanging="0" w:start="0"/>
        <w:rPr/>
      </w:pPr>
      <w:bookmarkStart w:id="1" w:name="__RefHeading___Toc489421184"/>
      <w:bookmarkEnd w:id="1"/>
      <w:r>
        <w:rPr/>
        <w:t>Section 1.01</w:t>
        <w:tab/>
        <w:t>Contract Term</w:t>
      </w:r>
    </w:p>
    <w:p>
      <w:pPr>
        <w:pStyle w:val="Normal"/>
        <w:rPr/>
      </w:pPr>
      <w:r>
        <w:rPr/>
        <w:t>This Agreement shall be effective on the date of receipt by the Parties of the applicable FERC approvals under Sections 205 and 206 of the Federal Power Act, as amended authorizing Purchaser to make sales to areas outside of ERCOT's jurisdiction (such date, the "</w:t>
      </w:r>
      <w:r>
        <w:rPr>
          <w:u w:val="single"/>
        </w:rPr>
        <w:t>Effective Date</w:t>
      </w:r>
      <w:r>
        <w:rPr/>
        <w:t>").  This Agreement is effective during the Contract Term.  The "</w:t>
      </w:r>
      <w:r>
        <w:rPr>
          <w:u w:val="single"/>
        </w:rPr>
        <w:t>Contract Term</w:t>
      </w:r>
      <w:r>
        <w:rPr/>
        <w:t>" shall begin on the Effective Date and continue until the end of the Production Term described in Section 1.02 below</w:t>
      </w:r>
      <w:ins w:id="0" w:author="Michael J. Curry" w:date="2000-07-31T16:29:00Z">
        <w:r>
          <w:rPr/>
          <w:t>.</w:t>
        </w:r>
      </w:ins>
      <w:r>
        <w:rPr/>
        <w:t xml:space="preserve"> </w:t>
      </w:r>
    </w:p>
    <w:p>
      <w:pPr>
        <w:pStyle w:val="ArticleL2"/>
        <w:numPr>
          <w:ilvl w:val="0"/>
          <w:numId w:val="0"/>
        </w:numPr>
        <w:tabs>
          <w:tab w:val="clear" w:pos="1584"/>
          <w:tab w:val="left" w:pos="1440" w:leader="none"/>
        </w:tabs>
        <w:ind w:hanging="0" w:start="0"/>
        <w:rPr/>
      </w:pPr>
      <w:bookmarkStart w:id="2" w:name="__RefHeading___Toc489421185"/>
      <w:bookmarkEnd w:id="2"/>
      <w:r>
        <w:rPr/>
        <w:t>Section 1.02</w:t>
        <w:tab/>
        <w:t>Production Term</w:t>
      </w:r>
    </w:p>
    <w:p>
      <w:pPr>
        <w:pStyle w:val="ArticleL3"/>
        <w:numPr>
          <w:ilvl w:val="2"/>
          <w:numId w:val="3"/>
        </w:numPr>
        <w:ind w:hanging="0" w:start="0"/>
        <w:rPr/>
      </w:pPr>
      <w:r>
        <w:rPr/>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MWh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December 31, 2011, unless (i) it is terminated earlier pursuant to another provision of this Agreement, , or (ii) Purchaser exercises its option to extend the Production Term pursuant to Section 1.03.</w:t>
      </w:r>
    </w:p>
    <w:p>
      <w:pPr>
        <w:pStyle w:val="ArticleL3"/>
        <w:numPr>
          <w:ilvl w:val="2"/>
          <w:numId w:val="3"/>
        </w:numPr>
        <w:ind w:hanging="0" w:start="0"/>
        <w:rPr/>
      </w:pPr>
      <w:r>
        <w:rPr/>
        <w:t>The "</w:t>
      </w:r>
      <w:r>
        <w:rPr>
          <w:u w:val="single"/>
        </w:rPr>
        <w:t>Start Date</w:t>
      </w:r>
      <w:r>
        <w:rPr/>
        <w:t>" may not be earlier than July 1, 2001, but, subject to that limitation, the Start Date is the first to occur of (i) </w:t>
      </w:r>
      <w:del w:id="1" w:author="Michael J. Curry" w:date="2000-07-31T16:31:00Z">
        <w:r>
          <w:rPr/>
          <w:delText>the Commercial Operation of the first turbine of</w:delText>
        </w:r>
      </w:del>
      <w:r>
        <w:rPr/>
        <w:t xml:space="preserve"> the Facility delivering to the Delivery Point 25MW or greater, and (ii) January 1, 2002.</w:t>
      </w:r>
    </w:p>
    <w:p>
      <w:pPr>
        <w:pStyle w:val="ArticleL2"/>
        <w:numPr>
          <w:ilvl w:val="0"/>
          <w:numId w:val="0"/>
        </w:numPr>
        <w:tabs>
          <w:tab w:val="clear" w:pos="1584"/>
          <w:tab w:val="left" w:pos="1440" w:leader="none"/>
        </w:tabs>
        <w:ind w:hanging="0" w:start="0"/>
        <w:rPr/>
      </w:pPr>
      <w:bookmarkStart w:id="3" w:name="__RefHeading___Toc489421186"/>
      <w:bookmarkEnd w:id="3"/>
      <w:r>
        <w:rPr/>
        <w:t>Section 1.03</w:t>
        <w:tab/>
        <w:t>Options to Extend Production Term</w:t>
      </w:r>
    </w:p>
    <w:p>
      <w:pPr>
        <w:pStyle w:val="ArticleL3"/>
        <w:numPr>
          <w:ilvl w:val="0"/>
          <w:numId w:val="0"/>
        </w:numPr>
        <w:ind w:hanging="0" w:start="0"/>
        <w:rPr/>
      </w:pPr>
      <w:r>
        <w:rPr/>
        <w:t xml:space="preserve">Subject to Purchaser not being in material default </w:t>
      </w:r>
      <w:del w:id="2" w:author="Michael J. Curry" w:date="2000-07-31T16:32:00Z">
        <w:r>
          <w:rPr/>
          <w:delText xml:space="preserve">(including any payment default) </w:delText>
        </w:r>
      </w:del>
      <w:r>
        <w:rPr/>
        <w:t xml:space="preserve">pursuant to Section 5.03 of this Agreement, Purchaser shall have the option to extend the Production Term of this Agreement prior to the expiration of the Production Term of this Agreement for two successive five-year periods from the expiration of the initial Production Term.  Purchaser may exercise its option to extend the Production Term of this Agreement by providing written notice to Seller at least </w:t>
      </w:r>
      <w:del w:id="3" w:author="dportz" w:date="2000-08-01T08:09:00Z">
        <w:r>
          <w:rPr/>
          <w:delText>[</w:delText>
        </w:r>
      </w:del>
      <w:r>
        <w:rPr/>
        <w:t>six</w:t>
      </w:r>
      <w:del w:id="4" w:author="dportz" w:date="2000-08-01T08:09:00Z">
        <w:r>
          <w:rPr/>
          <w:delText>]</w:delText>
        </w:r>
      </w:del>
      <w:r>
        <w:rPr/>
        <w:t xml:space="preserve"> months prior to the expiration of the initial Production Term or any extended Production Term</w:t>
      </w:r>
      <w:ins w:id="5" w:author="EI" w:date="2000-08-01T10:23:00Z">
        <w:r>
          <w:rPr/>
          <w:t xml:space="preserve"> </w:t>
        </w:r>
      </w:ins>
      <w:del w:id="6" w:author="Michael J. Curry" w:date="2000-07-31T16:32:00Z">
        <w:r>
          <w:rPr/>
          <w:delText xml:space="preserve"> </w:delText>
        </w:r>
      </w:del>
      <w:r>
        <w:rPr/>
        <w:t xml:space="preserve"> provided, that in each case, Purchaser is not in material default pursuant to Section 5.03 of this Agreement. .  If written notice of Purchaser's intention to exercise its option under this Section 1.03 is not received by Seller at least </w:t>
      </w:r>
      <w:del w:id="7" w:author="Michael J. Curry" w:date="2000-07-31T16:32:00Z">
        <w:r>
          <w:rPr/>
          <w:delText>[</w:delText>
        </w:r>
      </w:del>
      <w:r>
        <w:rPr/>
        <w:t>six</w:t>
      </w:r>
      <w:del w:id="8" w:author="Michael J. Curry" w:date="2000-07-31T16:32:00Z">
        <w:r>
          <w:rPr/>
          <w:delText>]</w:delText>
        </w:r>
      </w:del>
      <w:r>
        <w:rPr/>
        <w:t xml:space="preserve"> months prior to the expiration of the then effective Production Term, then the option shall expire and be deemed to have not been exercised by Purchaser.</w:t>
      </w:r>
    </w:p>
    <w:p>
      <w:pPr>
        <w:pStyle w:val="ArticleL2"/>
        <w:numPr>
          <w:ilvl w:val="0"/>
          <w:numId w:val="0"/>
        </w:numPr>
        <w:tabs>
          <w:tab w:val="clear" w:pos="1584"/>
          <w:tab w:val="left" w:pos="1440" w:leader="none"/>
        </w:tabs>
        <w:ind w:hanging="0" w:start="0"/>
        <w:rPr/>
      </w:pPr>
      <w:bookmarkStart w:id="4" w:name="__RefHeading___Toc489421187"/>
      <w:bookmarkEnd w:id="4"/>
      <w:r>
        <w:rPr/>
        <w:t>Section 1.04</w:t>
        <w:tab/>
        <w:t>Contract Year</w:t>
      </w:r>
    </w:p>
    <w:p>
      <w:pPr>
        <w:pStyle w:val="Normal"/>
        <w:rPr/>
      </w:pPr>
      <w:r>
        <w:rPr/>
      </w:r>
    </w:p>
    <w:p>
      <w:pPr>
        <w:pStyle w:val="Normal"/>
        <w:rPr/>
      </w:pPr>
      <w:r>
        <w:rPr/>
        <w:t>"</w:t>
      </w:r>
      <w:r>
        <w:rPr>
          <w:u w:val="single"/>
        </w:rPr>
        <w:t>Contract Year</w:t>
      </w:r>
      <w:r>
        <w:rPr/>
        <w:t>" means the yearly period between January 1st and December 31st, inclusive; provided, that for purposes of this Agreement, for the year in which the Starting Date occurs the term "</w:t>
      </w:r>
      <w:r>
        <w:rPr>
          <w:u w:val="single"/>
        </w:rPr>
        <w:t>Contract Year</w:t>
      </w:r>
      <w:r>
        <w:rPr/>
        <w:t>" shall mean the period between the Starting Date and December 31, 2001, inclusive, and for the year in which the date of the last day of the Production Term occurs the term "</w:t>
      </w:r>
      <w:r>
        <w:rPr>
          <w:u w:val="single"/>
        </w:rPr>
        <w:t>Contract Year</w:t>
      </w:r>
      <w:r>
        <w:rPr/>
        <w:t>" shall mean the period between January 1 of the year in which the last day of the Production Term occurs and the last day of the Production Term, inclusive.</w:t>
      </w:r>
    </w:p>
    <w:p>
      <w:pPr>
        <w:pStyle w:val="ArticleL1"/>
        <w:numPr>
          <w:ilvl w:val="0"/>
          <w:numId w:val="3"/>
        </w:numPr>
        <w:ind w:hanging="0" w:start="0"/>
        <w:rPr/>
      </w:pPr>
      <w:bookmarkStart w:id="5" w:name="__RefHeading___Toc489421188"/>
      <w:bookmarkEnd w:id="5"/>
      <w:r>
        <w:rPr/>
        <w:t>Facility</w:t>
      </w:r>
    </w:p>
    <w:p>
      <w:pPr>
        <w:pStyle w:val="ArticleL2"/>
        <w:numPr>
          <w:ilvl w:val="1"/>
          <w:numId w:val="3"/>
        </w:numPr>
        <w:ind w:hanging="0" w:start="0"/>
        <w:rPr/>
      </w:pPr>
      <w:bookmarkStart w:id="6" w:name="__RefHeading___Toc489421189"/>
      <w:bookmarkEnd w:id="6"/>
      <w:r>
        <w:rPr/>
        <w:t>Facility</w:t>
      </w:r>
    </w:p>
    <w:p>
      <w:pPr>
        <w:pStyle w:val="ArticleL3"/>
        <w:numPr>
          <w:ilvl w:val="2"/>
          <w:numId w:val="3"/>
        </w:numPr>
        <w:ind w:hanging="0" w:start="0"/>
        <w:rPr/>
      </w:pPr>
      <w:r>
        <w:rPr/>
        <w:t>Seller intends to design and construct the Facility with an initial total nameplate electrical generating capacity ("Initial Capacity") of 124.5 megawatts ("</w:t>
      </w:r>
      <w:r>
        <w:rPr>
          <w:u w:val="single"/>
        </w:rPr>
        <w:t>MW</w:t>
      </w:r>
      <w:r>
        <w:rPr/>
        <w:t xml:space="preserve">") and anticipated average net annual generation of </w:t>
      </w:r>
      <w:r>
        <w:rPr>
          <w:rPrChange w:id="0" w:author="Michael J. Curry" w:date="2000-07-31T16:33:00Z"/>
        </w:rPr>
        <w:t>500,000</w:t>
      </w:r>
      <w:r>
        <w:rPr/>
        <w:t xml:space="preserve"> megawatt-hours ("</w:t>
      </w:r>
      <w:r>
        <w:rPr>
          <w:u w:val="single"/>
        </w:rPr>
        <w:t>MWh</w:t>
      </w:r>
      <w:r>
        <w:rPr/>
        <w:t xml:space="preserve">").  </w:t>
      </w:r>
    </w:p>
    <w:p>
      <w:pPr>
        <w:pStyle w:val="ArticleL3"/>
        <w:numPr>
          <w:ilvl w:val="2"/>
          <w:numId w:val="3"/>
        </w:numPr>
        <w:ind w:hanging="0" w:start="0"/>
        <w:rPr/>
      </w:pPr>
      <w:r>
        <w:rPr/>
        <w:t>The Parties acknowledge and agree that notwithstanding anything to the contrary contained in Section 2.07, Seller may, at its option during the Contract Term, increase the installed capacity of the Facility up to 140 MW upon prior written notice to Purchaser. Such increase of the Initial Capacity shall not materially and adversely affect the delivery of energy to or from the Delivery Point, including but not limited to,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numPr>
          <w:ilvl w:val="2"/>
          <w:numId w:val="3"/>
        </w:numPr>
        <w:ind w:hanging="0" w:start="0"/>
        <w:rPr/>
      </w:pPr>
      <w:r>
        <w:rPr/>
        <w:t>Upon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ERCOT market, identifying materials, specifications, capabilities and marketing materials from suppliers of component equipment, and other materials and information that may assist Purchaser in communicating the capabilities of the Facility and other marketing efforts.</w:t>
      </w:r>
    </w:p>
    <w:p>
      <w:pPr>
        <w:pStyle w:val="Normal"/>
        <w:rPr/>
      </w:pPr>
      <w:r>
        <w:rPr/>
      </w:r>
    </w:p>
    <w:p>
      <w:pPr>
        <w:pStyle w:val="ArticleL2"/>
        <w:numPr>
          <w:ilvl w:val="1"/>
          <w:numId w:val="3"/>
        </w:numPr>
        <w:ind w:hanging="0" w:start="0"/>
        <w:rPr/>
      </w:pPr>
      <w:bookmarkStart w:id="7" w:name="__RefHeading___Toc489421190"/>
      <w:bookmarkEnd w:id="7"/>
      <w:r>
        <w:rPr/>
        <w:t>Interconnection</w:t>
      </w:r>
    </w:p>
    <w:p>
      <w:pPr>
        <w:pStyle w:val="ArticleL3"/>
        <w:numPr>
          <w:ilvl w:val="2"/>
          <w:numId w:val="3"/>
        </w:numPr>
        <w:ind w:hanging="0" w:start="0"/>
        <w:rPr/>
      </w:pPr>
      <w:r>
        <w:rPr/>
        <w:t>Seller shall, at its own expense, make all arrangements and payments, if any, necessary to have interconnection facilities constructed and interconnect the Facility with a transmission system and to place the Facility, if necessary, in a control area throughout the Contract Term.  An entity that owns any transmission system with which the Facility is interconnected is called the "</w:t>
      </w:r>
      <w:r>
        <w:rPr>
          <w:u w:val="single"/>
        </w:rPr>
        <w:t>Connecting Entity</w:t>
      </w:r>
      <w:r>
        <w:rPr/>
        <w:t>."  For purposes of this Agreement, the "</w:t>
      </w:r>
      <w:r>
        <w:rPr>
          <w:u w:val="single"/>
        </w:rPr>
        <w:t>Delivery Point</w:t>
      </w:r>
      <w:r>
        <w:rPr/>
        <w:t>" shall be the high side of the Facility's step-up transformer located at the Facility site in Pecos County, Texas, or pursuant to seller’s election</w:t>
      </w:r>
      <w:ins w:id="10" w:author="Michael J. Curry" w:date="2000-07-31T19:38:00Z">
        <w:r>
          <w:rPr/>
          <w:t xml:space="preserve"> </w:t>
        </w:r>
      </w:ins>
      <w:r>
        <w:rPr/>
        <w:t>under Section 4.04(e) Transferred Renewable Energy shall have a delivery point on the ERCOT transmission system equally or better suited than the above referenced Delivery Point of the Facility for the receipt of Renewable Energy by Purchaser and the transmission throughout the ERCOT transmission system  as reasonably determined by  EPMI.</w:t>
      </w:r>
    </w:p>
    <w:p>
      <w:pPr>
        <w:pStyle w:val="ArticleL3"/>
        <w:numPr>
          <w:ilvl w:val="2"/>
          <w:numId w:val="3"/>
        </w:numPr>
        <w:ind w:hanging="0" w:start="0"/>
        <w:rPr/>
      </w:pPr>
      <w:r>
        <w:rPr/>
        <w:t xml:space="preserve">Seller will need to coordinate the design, construction and operation of the required interconnection facilities with the Connecting Utility.  Such coordination shall include, without limitation, the execution by the Connecting Utility and Seller of one or more agreements regarding the design, construction and operation of the interconnection facilities reasonably satisfactory to Seller. </w:t>
      </w:r>
    </w:p>
    <w:p>
      <w:pPr>
        <w:pStyle w:val="ArticleL3"/>
        <w:numPr>
          <w:ilvl w:val="2"/>
          <w:numId w:val="3"/>
        </w:numPr>
        <w:ind w:hanging="0" w:start="0"/>
        <w:rPr>
          <w:ins w:id="11" w:author="Michael J. Curry" w:date="2000-07-31T16:49:00Z"/>
        </w:rPr>
      </w:pPr>
      <w:r>
        <w:rPr/>
        <w:t>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For purposes hereof, "Good Engineering and Operating Practices" means the practices, methods, and acts generally engaged in or approved by a significant portion of the electric power industry in the United States for similar facilities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ArticleL3"/>
        <w:numPr>
          <w:ilvl w:val="2"/>
          <w:numId w:val="3"/>
        </w:numPr>
        <w:ind w:hanging="0" w:start="0"/>
        <w:rPr>
          <w:ins w:id="38" w:author="Michael J. Curry" w:date="2000-07-31T16:49:00Z"/>
        </w:rPr>
      </w:pPr>
      <w:ins w:id="12" w:author="Michael J. Curry" w:date="2000-07-31T17:08:00Z">
        <w:r>
          <w:rPr/>
          <w:t xml:space="preserve">Seller shall </w:t>
        </w:r>
      </w:ins>
      <w:ins w:id="13" w:author="Michael J. Curry" w:date="2000-07-31T17:41:00Z">
        <w:r>
          <w:rPr/>
          <w:t>effectuate</w:t>
        </w:r>
      </w:ins>
      <w:ins w:id="14" w:author="Michael J. Curry" w:date="2000-07-31T17:38:00Z">
        <w:r>
          <w:rPr/>
          <w:t xml:space="preserve"> </w:t>
        </w:r>
      </w:ins>
      <w:ins w:id="15" w:author="Michael J. Curry" w:date="2000-07-31T17:44:00Z">
        <w:r>
          <w:rPr/>
          <w:t xml:space="preserve">the provision of </w:t>
        </w:r>
      </w:ins>
      <w:ins w:id="16" w:author="Michael J. Curry" w:date="2000-07-31T17:38:00Z">
        <w:r>
          <w:rPr/>
          <w:t>a</w:t>
        </w:r>
      </w:ins>
      <w:ins w:id="17" w:author="Michael J. Curry" w:date="2000-07-31T17:06:00Z">
        <w:r>
          <w:rPr/>
          <w:t xml:space="preserve"> Special Protection </w:t>
        </w:r>
      </w:ins>
      <w:ins w:id="18" w:author="Michael J. Curry" w:date="2000-07-31T17:08:00Z">
        <w:r>
          <w:rPr/>
          <w:t>Scheme</w:t>
        </w:r>
      </w:ins>
      <w:ins w:id="19" w:author="Michael J. Curry" w:date="2000-07-31T17:39:00Z">
        <w:r>
          <w:rPr/>
          <w:t xml:space="preserve"> </w:t>
        </w:r>
      </w:ins>
      <w:ins w:id="20" w:author="Michael J. Curry" w:date="2000-07-31T17:43:00Z">
        <w:r>
          <w:rPr/>
          <w:t xml:space="preserve">(“SPS”) </w:t>
        </w:r>
      </w:ins>
      <w:ins w:id="21" w:author="dportz" w:date="2000-08-01T08:14:00Z">
        <w:r>
          <w:rPr/>
          <w:t xml:space="preserve">system </w:t>
        </w:r>
      </w:ins>
      <w:ins w:id="22" w:author="Michael J. Curry" w:date="2000-07-31T17:40:00Z">
        <w:r>
          <w:rPr/>
          <w:t>for the Facility.  This system shall be acceptable to the ERCOT ISO and conform to NERC operating guidelines</w:t>
        </w:r>
      </w:ins>
      <w:ins w:id="23" w:author="Michael J. Curry" w:date="2000-07-31T17:42:00Z">
        <w:r>
          <w:rPr/>
          <w:t xml:space="preserve">.  Seller shall work with the Interconnecting Utility and </w:t>
        </w:r>
      </w:ins>
      <w:ins w:id="24" w:author="Michael J. Curry" w:date="2000-07-31T17:42:00Z">
        <w:del w:id="25" w:author="dportz" w:date="2000-08-01T08:14:00Z">
          <w:r>
            <w:rPr/>
            <w:delText xml:space="preserve">the </w:delText>
          </w:r>
        </w:del>
      </w:ins>
      <w:ins w:id="26" w:author="Michael J. Curry" w:date="2000-07-31T17:42:00Z">
        <w:r>
          <w:rPr/>
          <w:t xml:space="preserve">ERCOT </w:t>
        </w:r>
      </w:ins>
      <w:ins w:id="27" w:author="Michael J. Curry" w:date="2000-07-31T17:42:00Z">
        <w:del w:id="28" w:author="dportz" w:date="2000-08-01T08:14:00Z">
          <w:r>
            <w:rPr/>
            <w:delText xml:space="preserve">ISO </w:delText>
          </w:r>
        </w:del>
      </w:ins>
      <w:ins w:id="29" w:author="Michael J. Curry" w:date="2000-07-31T17:42:00Z">
        <w:r>
          <w:rPr/>
          <w:t xml:space="preserve">to design and construct, at Seller’s cost, an SPS system to avoid </w:t>
        </w:r>
      </w:ins>
      <w:ins w:id="30" w:author="Michael J. Curry" w:date="2000-07-31T17:50:00Z">
        <w:r>
          <w:rPr/>
          <w:t xml:space="preserve">potential </w:t>
        </w:r>
      </w:ins>
      <w:ins w:id="31" w:author="Michael J. Curry" w:date="2000-07-31T17:43:00Z">
        <w:r>
          <w:rPr/>
          <w:t>overload</w:t>
        </w:r>
      </w:ins>
      <w:ins w:id="32" w:author="Michael J. Curry" w:date="2000-07-31T17:49:00Z">
        <w:r>
          <w:rPr/>
          <w:t xml:space="preserve"> and cascading outage</w:t>
        </w:r>
      </w:ins>
      <w:ins w:id="33" w:author="Michael J. Curry" w:date="2000-07-31T17:43:00Z">
        <w:r>
          <w:rPr/>
          <w:t xml:space="preserve"> conditions on the ERCOT transmission system</w:t>
        </w:r>
      </w:ins>
      <w:ins w:id="34" w:author="Michael J. Curry" w:date="2000-07-31T17:50:00Z">
        <w:r>
          <w:rPr/>
          <w:t xml:space="preserve"> and </w:t>
        </w:r>
      </w:ins>
      <w:ins w:id="35" w:author="Michael J. Curry" w:date="2000-07-31T17:45:00Z">
        <w:r>
          <w:rPr/>
          <w:t xml:space="preserve"> allow the facility to </w:t>
        </w:r>
      </w:ins>
      <w:ins w:id="36" w:author="Michael J. Curry" w:date="2000-07-31T17:47:00Z">
        <w:r>
          <w:rPr/>
          <w:t>transmit energy into the ERCOT transmission system in a more advantageous manner</w:t>
        </w:r>
      </w:ins>
      <w:ins w:id="37" w:author="Michael J. Curry" w:date="2000-07-31T17:44:00Z">
        <w:r>
          <w:rPr/>
          <w:t>.</w:t>
        </w:r>
      </w:ins>
    </w:p>
    <w:p>
      <w:pPr>
        <w:pStyle w:val="Header"/>
        <w:tabs>
          <w:tab w:val="clear" w:pos="4320"/>
          <w:tab w:val="clear" w:pos="9360"/>
        </w:tabs>
        <w:rPr>
          <w:ins w:id="40" w:author="Michael J. Curry" w:date="2000-07-31T16:49:00Z"/>
        </w:rPr>
      </w:pPr>
      <w:ins w:id="39" w:author="Michael J. Curry" w:date="2000-07-31T16:49:00Z">
        <w:r>
          <w:rPr/>
        </w:r>
      </w:ins>
    </w:p>
    <w:p>
      <w:pPr>
        <w:pStyle w:val="Normal"/>
        <w:rPr/>
      </w:pPr>
      <w:r>
        <w:rPr/>
      </w:r>
    </w:p>
    <w:p>
      <w:pPr>
        <w:pStyle w:val="ArticleL2"/>
        <w:numPr>
          <w:ilvl w:val="1"/>
          <w:numId w:val="3"/>
        </w:numPr>
        <w:ind w:hanging="0" w:start="0"/>
        <w:rPr/>
      </w:pPr>
      <w:bookmarkStart w:id="8" w:name="__RefHeading___Toc489421191"/>
      <w:bookmarkEnd w:id="8"/>
      <w:r>
        <w:rPr/>
        <w:t>Transmission</w:t>
      </w:r>
    </w:p>
    <w:p>
      <w:pPr>
        <w:pStyle w:val="ArticleL3"/>
        <w:numPr>
          <w:ilvl w:val="2"/>
          <w:numId w:val="3"/>
        </w:numPr>
        <w:ind w:hanging="0" w:start="0"/>
        <w:rPr/>
      </w:pPr>
      <w:r>
        <w:rPr/>
        <w:t>Purchaser shall provide, by purchasing or arranging for, all services, including without limitation Transmission Services, Ancillary Services, any control area services, and shall be responsible for all line losses incurred or required after the physical interconnection of the Facility to the Electric Reliability Council of Texas or other applicable reliability council ("ERCOT") transmission grid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numPr>
          <w:ilvl w:val="2"/>
          <w:numId w:val="3"/>
        </w:numPr>
        <w:ind w:hanging="0" w:start="0"/>
        <w:rPr/>
      </w:pPr>
      <w:r>
        <w:rPr/>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numPr>
          <w:ilvl w:val="2"/>
          <w:numId w:val="3"/>
        </w:numPr>
        <w:ind w:hanging="0" w:start="0"/>
        <w:rPr/>
      </w:pPr>
      <w:r>
        <w:rPr/>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rPr/>
      </w:pPr>
      <w:r>
        <w:rPr/>
      </w:r>
    </w:p>
    <w:p>
      <w:pPr>
        <w:pStyle w:val="ArticleL2"/>
        <w:numPr>
          <w:ilvl w:val="1"/>
          <w:numId w:val="3"/>
        </w:numPr>
        <w:ind w:hanging="0" w:start="0"/>
        <w:rPr/>
      </w:pPr>
      <w:bookmarkStart w:id="9" w:name="__RefHeading___Toc489421192"/>
      <w:bookmarkEnd w:id="9"/>
      <w:r>
        <w:rPr/>
        <w:t>Metering</w:t>
      </w:r>
    </w:p>
    <w:p>
      <w:pPr>
        <w:pStyle w:val="ArticleL3"/>
        <w:numPr>
          <w:ilvl w:val="2"/>
          <w:numId w:val="3"/>
        </w:numPr>
        <w:ind w:hanging="0" w:start="0"/>
        <w:rPr/>
      </w:pPr>
      <w:r>
        <w:rPr/>
        <w:t>Seller is responsible, at its expense, for providing meters installed at the Delivery Point to measure the Net Energy delivered from the Facility to the Connecting Entity's transmission or distribution system ("</w:t>
      </w:r>
      <w:r>
        <w:rPr>
          <w:u w:val="single"/>
        </w:rPr>
        <w:t>Metering Equipment</w:t>
      </w:r>
      <w:r>
        <w:rPr/>
        <w:t>").  The Metering Equipment must:</w:t>
      </w:r>
    </w:p>
    <w:p>
      <w:pPr>
        <w:pStyle w:val="ArticleL4"/>
        <w:numPr>
          <w:ilvl w:val="3"/>
          <w:numId w:val="3"/>
        </w:numPr>
        <w:ind w:hanging="0" w:start="0"/>
        <w:rPr/>
      </w:pPr>
      <w:r>
        <w:rPr/>
        <w:t>be of the accuracy class and construction described in ANSI Standard C12.20;</w:t>
      </w:r>
    </w:p>
    <w:p>
      <w:pPr>
        <w:pStyle w:val="ArticleL4"/>
        <w:numPr>
          <w:ilvl w:val="3"/>
          <w:numId w:val="3"/>
        </w:numPr>
        <w:ind w:hanging="0" w:start="0"/>
        <w:rPr/>
      </w:pPr>
      <w:r>
        <w:rPr/>
        <w:t>be metering accuracy class of 0.3 or better;</w:t>
      </w:r>
    </w:p>
    <w:p>
      <w:pPr>
        <w:pStyle w:val="ArticleL4"/>
        <w:numPr>
          <w:ilvl w:val="3"/>
          <w:numId w:val="3"/>
        </w:numPr>
        <w:ind w:hanging="0" w:start="0"/>
        <w:rPr/>
      </w:pPr>
      <w:r>
        <w:rPr/>
        <w:t>be constructed and maintained following good metering principles documented in ANSI Standard C12.1 and in the EEI Handbook for Electricity Metering; and</w:t>
      </w:r>
    </w:p>
    <w:p>
      <w:pPr>
        <w:pStyle w:val="ArticleL4"/>
        <w:numPr>
          <w:ilvl w:val="3"/>
          <w:numId w:val="3"/>
        </w:numPr>
        <w:ind w:hanging="0" w:start="0"/>
        <w:rPr/>
      </w:pPr>
      <w:r>
        <w:rPr/>
        <w:t xml:space="preserve">conform in all material respects to the guidelines of the applicable reliability council (for the </w:t>
      </w:r>
      <w:r>
        <w:rPr>
          <w:u w:val="single"/>
        </w:rPr>
        <w:t>ERCOT</w:t>
      </w:r>
      <w:r>
        <w:rPr/>
        <w:t>), this would be the most current version of a document titled, "Electric Reliability Council of Texas Operating Guidelines – Guide VI, Communication and Metering, Appendix VI.C, Inter-Control Area Metering Guidelines").</w:t>
      </w:r>
    </w:p>
    <w:p>
      <w:pPr>
        <w:pStyle w:val="ArticleL4"/>
        <w:numPr>
          <w:ilvl w:val="3"/>
          <w:numId w:val="3"/>
        </w:numPr>
        <w:ind w:hanging="0" w:start="0"/>
        <w:rPr/>
      </w:pPr>
      <w:r>
        <w:rPr/>
        <w:t xml:space="preserve">conform in all material respects to the ERCOT Protocols' (or subsequent document established by ERCOT) requirements for metering, including but not limited to, all of ERCOT's metering requirements for operating a Dynamic Schedule and/or Split Metering.  </w:t>
      </w:r>
      <w:r>
        <w:rPr>
          <w:b/>
        </w:rPr>
        <w:t>[UNDER REVIEW]</w:t>
      </w:r>
    </w:p>
    <w:p>
      <w:pPr>
        <w:pStyle w:val="Normal"/>
        <w:rPr/>
      </w:pPr>
      <w:r>
        <w:rPr/>
      </w:r>
    </w:p>
    <w:p>
      <w:pPr>
        <w:pStyle w:val="ArticleL3"/>
        <w:numPr>
          <w:ilvl w:val="2"/>
          <w:numId w:val="3"/>
        </w:numPr>
        <w:ind w:hanging="0" w:start="0"/>
        <w:rPr/>
      </w:pPr>
      <w:r>
        <w:rPr/>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numPr>
          <w:ilvl w:val="2"/>
          <w:numId w:val="3"/>
        </w:numPr>
        <w:ind w:hanging="0" w:start="0"/>
        <w:rPr/>
      </w:pPr>
      <w:r>
        <w:rPr/>
        <w:t>If the Metering Equipment is not within the standards established by ANSI or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numPr>
          <w:ilvl w:val="3"/>
          <w:numId w:val="3"/>
        </w:numPr>
        <w:ind w:hanging="0" w:start="0"/>
        <w:rPr/>
      </w:pPr>
      <w:r>
        <w:rPr/>
        <w:t>the actual period during which inaccurate measurements were made, if the period can be identified; or, if not,</w:t>
      </w:r>
    </w:p>
    <w:p>
      <w:pPr>
        <w:pStyle w:val="ArticleL4"/>
        <w:numPr>
          <w:ilvl w:val="3"/>
          <w:numId w:val="3"/>
        </w:numPr>
        <w:ind w:hanging="0" w:start="0"/>
        <w:rPr/>
      </w:pPr>
      <w:r>
        <w:rPr/>
        <w:t>the period immediately preceding the test of Metering Equipment equal to one-half the time from the last previous test of Metering Equipment, except that the period covered by any correction may not exceed six months.</w:t>
      </w:r>
    </w:p>
    <w:p>
      <w:pPr>
        <w:pStyle w:val="ArticleL2"/>
        <w:numPr>
          <w:ilvl w:val="1"/>
          <w:numId w:val="3"/>
        </w:numPr>
        <w:ind w:hanging="0" w:start="0"/>
        <w:rPr/>
      </w:pPr>
      <w:bookmarkStart w:id="10" w:name="__RefHeading___Toc489421193"/>
      <w:bookmarkEnd w:id="10"/>
      <w:r>
        <w:rPr/>
        <w:t>Communications and Telemetry</w:t>
      </w:r>
    </w:p>
    <w:p>
      <w:pPr>
        <w:pStyle w:val="Normal"/>
        <w:rPr/>
      </w:pPr>
      <w:r>
        <w:rPr/>
        <w:t>Seller shall, at Seller's expense, design, install, own, maintain, and control the "Communications and Telemetry Equipment."  The "</w:t>
      </w:r>
      <w:r>
        <w:rPr>
          <w:u w:val="single"/>
        </w:rPr>
        <w:t>Communications and Telemetry Equipment</w:t>
      </w:r>
      <w:r>
        <w:rPr/>
        <w:t xml:space="preserve">" is the telemetering, communications, and data acquisition equipment that are, or may be in the future, necessary for the effective operation of the Facility with the guidelines of the applicable reliability council (in addition to those required by the Connecting Utility).  This Communications and Telemetry Equipment must be capable of providing Purchaser real-time (4 second polling) Operational Data that can be accessed and viewed on Purchaser's trading floor.  The "Operational Data" includes but is not limited to real-time per wind turbine (a) actual output, (b) revolutions per minute, (c) wind speed, </w:t>
      </w:r>
      <w:ins w:id="41" w:author="Michael J. Curry" w:date="2000-07-31T18:17:00Z">
        <w:r>
          <w:rPr/>
          <w:t xml:space="preserve">(d) wind direction (e) air </w:t>
        </w:r>
      </w:ins>
      <w:del w:id="42" w:author="Michael J. Curry" w:date="2000-07-31T18:17:00Z">
        <w:r>
          <w:rPr/>
          <w:delText xml:space="preserve">(d) </w:delText>
        </w:r>
      </w:del>
      <w:r>
        <w:rPr/>
        <w:t>temperature, (</w:t>
      </w:r>
      <w:del w:id="43" w:author="Michael J. Curry" w:date="2000-07-31T18:18:00Z">
        <w:r>
          <w:rPr/>
          <w:delText>e</w:delText>
        </w:r>
      </w:del>
      <w:ins w:id="44" w:author="Michael J. Curry" w:date="2000-07-31T18:18:00Z">
        <w:r>
          <w:rPr/>
          <w:t>f</w:t>
        </w:r>
      </w:ins>
      <w:r>
        <w:rPr/>
        <w:t xml:space="preserve">) breaker status, </w:t>
      </w:r>
      <w:del w:id="45" w:author="Michael J. Curry" w:date="2000-07-31T18:19:00Z">
        <w:r>
          <w:rPr/>
          <w:delText xml:space="preserve">and </w:delText>
        </w:r>
      </w:del>
      <w:ins w:id="46" w:author="Michael J. Curry" w:date="2000-07-31T18:18:00Z">
        <w:r>
          <w:rPr/>
          <w:t>(g) humidity, (h) frequency, (i) number of units on or offline, (j) remote and local switch status, (k) MVAR, (l) MOD status, and (m) all other data available as presented in the VISUPROfessional SCADA System manual dated 3/5/00.  The SCADA system must be compatible with MOD Bus.  SCADA system data from the wind turbines must be able to be transferred to and stored in a relational database program such as Microsoft Access</w:t>
        </w:r>
      </w:ins>
      <w:ins w:id="47" w:author="dportz" w:date="2000-08-01T08:15:00Z">
        <w:r>
          <w:rPr/>
          <w:t>, as upgraded from time to time</w:t>
        </w:r>
      </w:ins>
      <w:ins w:id="48" w:author="Michael J. Curry" w:date="2000-07-31T18:18:00Z">
        <w:r>
          <w:rPr/>
          <w:t>.</w:t>
        </w:r>
      </w:ins>
      <w:ins w:id="49" w:author="Michael J. Curry" w:date="2000-07-31T19:21:00Z">
        <w:r>
          <w:rPr/>
          <w:t xml:space="preserve">  </w:t>
        </w:r>
      </w:ins>
      <w:ins w:id="50" w:author="dportz" w:date="2000-08-01T08:49:00Z">
        <w:r>
          <w:rPr/>
          <w:t>The SCADA system must be equipped with redundant fiber optic lines connecting each wind turbine computer to the Facility’s central network computer.  The Facility’s central network computer must be connected to Purchaser’s trading floor computer by two redundant T1 fiber optic lines.</w:t>
        </w:r>
      </w:ins>
      <w:del w:id="51" w:author="Michael J. Curry" w:date="2000-07-31T18:18:00Z">
        <w:r>
          <w:rPr/>
          <w:delText>(f) other relevant operational information</w:delText>
        </w:r>
      </w:del>
      <w:r>
        <w:rPr/>
        <w:t xml:space="preserve">. </w:t>
      </w:r>
      <w:del w:id="52" w:author="Michael J. Curry" w:date="2000-07-31T18:19:00Z">
        <w:r>
          <w:rPr/>
          <w:delText xml:space="preserve"> </w:delText>
        </w:r>
      </w:del>
      <w:del w:id="53" w:author="Michael J. Curry" w:date="2000-07-31T18:19:00Z">
        <w:r>
          <w:rPr>
            <w:b/>
          </w:rPr>
          <w:delText>[UNDER REVIEW]</w:delText>
        </w:r>
      </w:del>
      <w:del w:id="54" w:author="Michael J. Curry" w:date="2000-07-31T18:19:00Z">
        <w:r>
          <w:rPr/>
          <w:delText xml:space="preserve">  </w:delText>
        </w:r>
      </w:del>
      <w:ins w:id="55" w:author="Michael J. Curry" w:date="2000-07-31T18:19:00Z">
        <w:r>
          <w:rPr/>
          <w:t xml:space="preserve">  </w:t>
        </w:r>
      </w:ins>
      <w:r>
        <w:rPr/>
        <w:t>Purchaser may inspect and review Seller's Communications and Telemetry Equipment.  The Communications and Telemetry Equipment may include communication and data transmission (telemetering) facilities operable from any single location designated by Purchaser, from time to time (in addition to those required by the Connecting Utility).  If Purchaser requests in writing that any Communications and Telemetry Equipment be added, modified, or changed to meet Purchaser's informational needs, then, so long as such additions, modifications or changes are consistent with and otherwise permitted under the rules and guidelines of the applicable reliability council, Seller shall make such additions, modifications, or changes at Purchaser's sole cost and expense.  The Facility must also include:</w:t>
      </w:r>
    </w:p>
    <w:p>
      <w:pPr>
        <w:pStyle w:val="ArticleL3"/>
        <w:numPr>
          <w:ilvl w:val="2"/>
          <w:numId w:val="3"/>
        </w:numPr>
        <w:ind w:hanging="0" w:start="0"/>
        <w:rPr/>
      </w:pPr>
      <w:r>
        <w:rPr/>
        <w:t>one full business voice circuit, which may be cellular, that terminates in the Metering Equipment to use in maintaining and operating the billing meter;</w:t>
      </w:r>
    </w:p>
    <w:p>
      <w:pPr>
        <w:pStyle w:val="ArticleL3"/>
        <w:numPr>
          <w:ilvl w:val="2"/>
          <w:numId w:val="3"/>
        </w:numPr>
        <w:ind w:hanging="0" w:start="0"/>
        <w:rPr/>
      </w:pPr>
      <w:r>
        <w:rPr/>
        <w:t>one full business voice circuit, which may be cellular, in the Facility's operation and maintenance facility, including facsimile capability compatible with the equipment used by Purchaser; and</w:t>
      </w:r>
    </w:p>
    <w:p>
      <w:pPr>
        <w:pStyle w:val="ArticleL3"/>
        <w:numPr>
          <w:ilvl w:val="2"/>
          <w:numId w:val="3"/>
        </w:numPr>
        <w:ind w:hanging="0" w:start="0"/>
        <w:rPr/>
      </w:pPr>
      <w:r>
        <w:rPr/>
        <w:t>a facsimile machine in the Facility's operation and maintenance facility.</w:t>
      </w:r>
    </w:p>
    <w:p>
      <w:pPr>
        <w:pStyle w:val="ArticleL2"/>
        <w:numPr>
          <w:ilvl w:val="1"/>
          <w:numId w:val="3"/>
        </w:numPr>
        <w:ind w:hanging="0" w:start="0"/>
        <w:rPr/>
      </w:pPr>
      <w:bookmarkStart w:id="11" w:name="__RefHeading___Toc489421194"/>
      <w:bookmarkEnd w:id="11"/>
      <w:r>
        <w:rPr/>
        <w:t>Regulatory Compliance</w:t>
      </w:r>
    </w:p>
    <w:p>
      <w:pPr>
        <w:pStyle w:val="FlushLeft"/>
        <w:rPr/>
      </w:pPr>
      <w:r>
        <w:rPr/>
        <w:t>Seller shall comply in all material respects with all legal and regulatory requirements for it to fulfill its obligations under this Agreement, including but not limited to:</w:t>
      </w:r>
    </w:p>
    <w:p>
      <w:pPr>
        <w:pStyle w:val="ArticleL3"/>
        <w:numPr>
          <w:ilvl w:val="2"/>
          <w:numId w:val="3"/>
        </w:numPr>
        <w:ind w:hanging="0" w:start="0"/>
        <w:rPr/>
      </w:pPr>
      <w:r>
        <w:rPr/>
        <w:t>Seller shall be responsible, at its expense, to acquire a Standby Service Agreement from the Connecting Utility.</w:t>
      </w:r>
    </w:p>
    <w:p>
      <w:pPr>
        <w:pStyle w:val="ArticleL3"/>
        <w:numPr>
          <w:ilvl w:val="2"/>
          <w:numId w:val="3"/>
        </w:numPr>
        <w:ind w:hanging="0" w:start="0"/>
        <w:rPr/>
      </w:pPr>
      <w:r>
        <w:rPr/>
        <w:t>Completing the registration process with the State of Texas Public Utilities Commission or any successor agency ("PUCT")'s Program Administrator described in PUCT Substantive Rule §25.173(n), and at its expense, paying any applicable administrative fees to the Program Administrator relating to such registration;</w:t>
      </w:r>
    </w:p>
    <w:p>
      <w:pPr>
        <w:pStyle w:val="ArticleL3"/>
        <w:numPr>
          <w:ilvl w:val="2"/>
          <w:numId w:val="3"/>
        </w:numPr>
        <w:ind w:hanging="0" w:start="0"/>
        <w:rPr/>
      </w:pPr>
      <w:r>
        <w:rPr/>
        <w:t xml:space="preserve">Receiving and maintaining certification as a Renewable Energy Resource from the PUCT; </w:t>
      </w:r>
    </w:p>
    <w:p>
      <w:pPr>
        <w:pStyle w:val="ArticleL3"/>
        <w:numPr>
          <w:ilvl w:val="2"/>
          <w:numId w:val="3"/>
        </w:numPr>
        <w:ind w:hanging="0" w:start="0"/>
        <w:rPr/>
      </w:pPr>
      <w:r>
        <w:rPr/>
        <w:t>Filing a report quarterly with the PUCT Program Administrator of the amount of Net Energy generated by the Facility; and</w:t>
      </w:r>
    </w:p>
    <w:p>
      <w:pPr>
        <w:pStyle w:val="ArticleL3"/>
        <w:numPr>
          <w:ilvl w:val="2"/>
          <w:numId w:val="3"/>
        </w:numPr>
        <w:ind w:hanging="0" w:start="0"/>
        <w:rPr/>
      </w:pPr>
      <w:r>
        <w:rPr/>
        <w:t xml:space="preserve">Fulfilling any applicable labeling requirements, if any, through the customer protection rules established by the PUCT. </w:t>
      </w:r>
    </w:p>
    <w:p>
      <w:pPr>
        <w:pStyle w:val="ArticleL2"/>
        <w:numPr>
          <w:ilvl w:val="1"/>
          <w:numId w:val="3"/>
        </w:numPr>
        <w:ind w:hanging="0" w:start="0"/>
        <w:rPr/>
      </w:pPr>
      <w:bookmarkStart w:id="12" w:name="__RefHeading___Toc489421195"/>
      <w:bookmarkEnd w:id="12"/>
      <w:r>
        <w:rPr/>
        <w:t>Modifications to Facility</w:t>
      </w:r>
    </w:p>
    <w:p>
      <w:pPr>
        <w:pStyle w:val="FlushLeft"/>
        <w:rPr/>
      </w:pPr>
      <w:r>
        <w:rPr/>
        <w:t>After construction of the Facility is completed, Seller shall provide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Seller may not materially modify the Facility in any way that would have a material and adverse effect on the output of RECs or electric energy output of the Facility without Purchaser's prior written approval, which it may give or withhold in its sole discretion; provided, that nothing herein shall limit Seller's rights under Section 2.01(c) to expand the Facility as described therein.</w:t>
      </w:r>
    </w:p>
    <w:p>
      <w:pPr>
        <w:pStyle w:val="ArticleL2"/>
        <w:numPr>
          <w:ilvl w:val="1"/>
          <w:numId w:val="3"/>
        </w:numPr>
        <w:ind w:hanging="0" w:start="0"/>
        <w:rPr/>
      </w:pPr>
      <w:bookmarkStart w:id="13" w:name="__RefHeading___Toc489421196"/>
      <w:bookmarkEnd w:id="13"/>
      <w:r>
        <w:rPr/>
        <w:t>Exclusion of Liability</w:t>
      </w:r>
    </w:p>
    <w:p>
      <w:pPr>
        <w:pStyle w:val="FlushLeft"/>
        <w:rPr/>
      </w:pPr>
      <w:r>
        <w:rPr/>
        <w:t>Purchaser, by inspection of the Facility or by its comment or failure to comment on, or by review of, information or plans for construction or modification of the Facility, Interconnection arrangements or, (1) is not responsible for strength of materials, design, adequacy, or compatibility of the Facility, and (2) does not assume any responsibility or liability for damages or physical injury to:</w:t>
      </w:r>
    </w:p>
    <w:p>
      <w:pPr>
        <w:pStyle w:val="ArticleL3"/>
        <w:numPr>
          <w:ilvl w:val="2"/>
          <w:numId w:val="3"/>
        </w:numPr>
        <w:ind w:hanging="0" w:start="0"/>
        <w:rPr/>
      </w:pPr>
      <w:r>
        <w:rPr/>
        <w:t>either Party's real or personal property or electrical equipment;</w:t>
      </w:r>
    </w:p>
    <w:p>
      <w:pPr>
        <w:pStyle w:val="ArticleL3"/>
        <w:numPr>
          <w:ilvl w:val="2"/>
          <w:numId w:val="3"/>
        </w:numPr>
        <w:ind w:hanging="0" w:start="0"/>
        <w:rPr/>
      </w:pPr>
      <w:r>
        <w:rPr/>
        <w:t>the real or personal property of third persons or entities not a Party to this Agreement;</w:t>
      </w:r>
    </w:p>
    <w:p>
      <w:pPr>
        <w:pStyle w:val="ArticleL3"/>
        <w:numPr>
          <w:ilvl w:val="2"/>
          <w:numId w:val="3"/>
        </w:numPr>
        <w:ind w:hanging="0" w:start="0"/>
        <w:rPr/>
      </w:pPr>
      <w:r>
        <w:rPr/>
        <w:t>any persons who may come in contact with or upon either Party's facilities; or</w:t>
      </w:r>
    </w:p>
    <w:p>
      <w:pPr>
        <w:pStyle w:val="ArticleL3"/>
        <w:numPr>
          <w:ilvl w:val="2"/>
          <w:numId w:val="3"/>
        </w:numPr>
        <w:ind w:hanging="0" w:start="0"/>
        <w:rPr/>
      </w:pPr>
      <w:r>
        <w:rPr/>
        <w:t>any other persons or property, real or personal.</w:t>
      </w:r>
    </w:p>
    <w:p>
      <w:pPr>
        <w:pStyle w:val="FlushLeft"/>
        <w:rPr/>
      </w:pPr>
      <w:r>
        <w:rPr/>
        <w:t>Purchaser's inspection, review, comment, or failure to comment is not an endorsement or warranty of the Facility.</w:t>
      </w:r>
    </w:p>
    <w:p>
      <w:pPr>
        <w:pStyle w:val="ArticleL1"/>
        <w:numPr>
          <w:ilvl w:val="0"/>
          <w:numId w:val="3"/>
        </w:numPr>
        <w:ind w:hanging="0" w:start="0"/>
        <w:rPr/>
      </w:pPr>
      <w:r>
        <w:rPr>
          <w:rFonts w:eastAsia="Times New Roman Bold"/>
        </w:rPr>
        <w:t xml:space="preserve">   </w:t>
      </w:r>
      <w:bookmarkStart w:id="14" w:name="__RefHeading___Toc489421197"/>
      <w:r>
        <w:rPr/>
        <w:t>Facility Operation</w:t>
      </w:r>
      <w:bookmarkEnd w:id="14"/>
    </w:p>
    <w:p>
      <w:pPr>
        <w:pStyle w:val="ArticleL2"/>
        <w:numPr>
          <w:ilvl w:val="1"/>
          <w:numId w:val="3"/>
        </w:numPr>
        <w:ind w:hanging="0" w:start="0"/>
        <w:rPr/>
      </w:pPr>
      <w:bookmarkStart w:id="15" w:name="__RefHeading___Toc489421198"/>
      <w:bookmarkEnd w:id="15"/>
      <w:r>
        <w:rPr/>
        <w:t>General Requirements</w:t>
      </w:r>
    </w:p>
    <w:p>
      <w:pPr>
        <w:pStyle w:val="ArticleL3"/>
        <w:numPr>
          <w:ilvl w:val="2"/>
          <w:numId w:val="3"/>
        </w:numPr>
        <w:ind w:hanging="0" w:start="0"/>
        <w:rPr/>
      </w:pPr>
      <w:r>
        <w:rPr/>
        <w:t>Seller shall adequately staff the Facility to monitor, operate, and maintain the equipment and shall staff the Facility with a qualified operator during ordinary business hours.</w:t>
      </w:r>
    </w:p>
    <w:p>
      <w:pPr>
        <w:pStyle w:val="ArticleL3"/>
        <w:numPr>
          <w:ilvl w:val="2"/>
          <w:numId w:val="3"/>
        </w:numPr>
        <w:ind w:hanging="0" w:start="0"/>
        <w:rPr/>
      </w:pPr>
      <w:r>
        <w:rPr/>
        <w:t>Provided that the information is reasonably available from the Facility or to Seller, Seller shall report to Purchaser, on a timely basis and during regular business hours Monday through Friday (except any North American Electric Reliability Council ("</w:t>
      </w:r>
      <w:r>
        <w:rPr>
          <w:u w:val="single"/>
        </w:rPr>
        <w:t>NERC</w:t>
      </w:r>
      <w:r>
        <w:rPr/>
        <w:t>")</w:t>
      </w:r>
      <w:r>
        <w:rPr>
          <w:b/>
          <w:u w:val="double"/>
        </w:rPr>
        <w:t xml:space="preserve"> </w:t>
      </w:r>
      <w:r>
        <w:rPr/>
        <w:t>holidays) those items and/or conditions reasonably necessary for Purchaser's internal planning.  The information supplied must include, without limitation, the following:</w:t>
      </w:r>
    </w:p>
    <w:p>
      <w:pPr>
        <w:pStyle w:val="ArticleL4"/>
        <w:numPr>
          <w:ilvl w:val="3"/>
          <w:numId w:val="3"/>
        </w:numPr>
        <w:ind w:hanging="0" w:start="0"/>
        <w:rPr/>
      </w:pPr>
      <w:r>
        <w:rPr/>
        <w:t>an overhaul or scheduled weekly outage plan for each Contract Year (updated weekly);</w:t>
      </w:r>
    </w:p>
    <w:p>
      <w:pPr>
        <w:pStyle w:val="ArticleL4"/>
        <w:numPr>
          <w:ilvl w:val="3"/>
          <w:numId w:val="3"/>
        </w:numPr>
        <w:ind w:hanging="0" w:start="0"/>
        <w:rPr/>
      </w:pPr>
      <w:r>
        <w:rPr/>
        <w:t>any scheduled or planned transmission or switchyard clearances or maintenance plans for the next twelve (12) months (updated weekly); and</w:t>
      </w:r>
    </w:p>
    <w:p>
      <w:pPr>
        <w:pStyle w:val="ArticleL4"/>
        <w:numPr>
          <w:ilvl w:val="3"/>
          <w:numId w:val="3"/>
        </w:numPr>
        <w:ind w:hanging="0" w:start="0"/>
        <w:rPr/>
      </w:pPr>
      <w:r>
        <w:rPr/>
        <w:t>immediate notice through the SCADA at the Facility of the occurrence of any unplanned event or circumstance that causes five percent or more of the Facility's generating units to be unavailable for generation;</w:t>
      </w:r>
    </w:p>
    <w:p>
      <w:pPr>
        <w:pStyle w:val="FlushLeft"/>
        <w:rPr/>
      </w:pPr>
      <w:r>
        <w:rPr/>
        <w:t>Seller is responsible to see that the maintenance and operation of the Facility and facilities interconnecting the Facility to the Delivery Point are conducted in compliance in all material respects with the applicable then-current guidelines of the applicable reliability council.</w:t>
      </w:r>
    </w:p>
    <w:p>
      <w:pPr>
        <w:pStyle w:val="ArticleL2"/>
        <w:numPr>
          <w:ilvl w:val="1"/>
          <w:numId w:val="3"/>
        </w:numPr>
        <w:ind w:hanging="0" w:start="0"/>
        <w:rPr/>
      </w:pPr>
      <w:bookmarkStart w:id="16" w:name="__RefHeading___Toc489421199"/>
      <w:bookmarkEnd w:id="16"/>
      <w:r>
        <w:rPr/>
        <w:t>Quarterly Meeting</w:t>
      </w:r>
    </w:p>
    <w:p>
      <w:pPr>
        <w:pStyle w:val="FlushLeft"/>
        <w:rPr/>
      </w:pPr>
      <w:r>
        <w:rPr/>
        <w:t>Seller shall cause one of its representatives to attend a quarterly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keepNext w:val="false"/>
        <w:numPr>
          <w:ilvl w:val="1"/>
          <w:numId w:val="3"/>
        </w:numPr>
        <w:ind w:hanging="0" w:start="0"/>
        <w:rPr/>
      </w:pPr>
      <w:bookmarkStart w:id="17" w:name="__RefHeading___Toc489421200"/>
      <w:bookmarkEnd w:id="17"/>
      <w:r>
        <w:rPr/>
        <w:t>Legal Opinion</w:t>
      </w:r>
    </w:p>
    <w:p>
      <w:pPr>
        <w:pStyle w:val="FlushLeft"/>
        <w:rPr/>
      </w:pPr>
      <w:r>
        <w:rPr/>
        <w:t>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 projected or anticipated tax positions under the jurisdiction of federal, state, local or any other jurisdictional entity having or anticipated to have authority over Seller's operations, including but not limited to a present, projected or anticipated tax position of Seller in relation to such Production Tax Credits.</w:t>
      </w:r>
    </w:p>
    <w:p>
      <w:pPr>
        <w:pStyle w:val="ArticleL2"/>
        <w:keepLines/>
        <w:numPr>
          <w:ilvl w:val="1"/>
          <w:numId w:val="3"/>
        </w:numPr>
        <w:ind w:hanging="0" w:start="0"/>
        <w:rPr/>
      </w:pPr>
      <w:bookmarkStart w:id="18" w:name="__RefHeading___Toc489421201"/>
      <w:bookmarkEnd w:id="18"/>
      <w:r>
        <w:rPr/>
        <w:t>No Interstate Operations</w:t>
      </w:r>
    </w:p>
    <w:p>
      <w:pPr>
        <w:pStyle w:val="ArticleL3"/>
        <w:keepNext w:val="true"/>
        <w:keepLines/>
        <w:numPr>
          <w:ilvl w:val="2"/>
          <w:numId w:val="3"/>
        </w:numPr>
        <w:ind w:hanging="0" w:start="0"/>
        <w:rPr/>
      </w:pPr>
      <w:r>
        <w:rPr/>
        <w:t>Seller agrees that, during the Contract Term:</w:t>
      </w:r>
    </w:p>
    <w:p>
      <w:pPr>
        <w:pStyle w:val="ArticleL4"/>
        <w:keepNext w:val="true"/>
        <w:keepLines/>
        <w:numPr>
          <w:ilvl w:val="3"/>
          <w:numId w:val="3"/>
        </w:numPr>
        <w:ind w:hanging="0" w:start="0"/>
        <w:rPr/>
      </w:pPr>
      <w:r>
        <w:rPr/>
        <w:t>Seller shall not, directly or through connections with other entities, transmit, sell, or deliver electric energy generated at the Facility in interstate commerce; and</w:t>
      </w:r>
    </w:p>
    <w:p>
      <w:pPr>
        <w:pStyle w:val="ArticleL4"/>
        <w:numPr>
          <w:ilvl w:val="3"/>
          <w:numId w:val="3"/>
        </w:numPr>
        <w:ind w:hanging="0" w:start="0"/>
        <w:rPr/>
      </w:pPr>
      <w:r>
        <w:rPr/>
        <w:t>Seller shall open, and shall keep open, all electrical connections controlled by it that are necessary to prevent transmission of electric energy generated at the Facility in interstate commerce.</w:t>
      </w:r>
    </w:p>
    <w:p>
      <w:pPr>
        <w:pStyle w:val="ArticleL3"/>
        <w:numPr>
          <w:ilvl w:val="2"/>
          <w:numId w:val="3"/>
        </w:numPr>
        <w:ind w:hanging="0" w:start="0"/>
        <w:rPr/>
      </w:pPr>
      <w:r>
        <w:rPr/>
        <w:t>Nothing in this Section 3.04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Section 3.04(a), then Purchaser may, in addition to any other remedies it may have, suspend its obligation to accept deliveries of RECs and electric energy from Seller.</w:t>
      </w:r>
    </w:p>
    <w:p>
      <w:pPr>
        <w:pStyle w:val="ArticleL3"/>
        <w:numPr>
          <w:ilvl w:val="2"/>
          <w:numId w:val="3"/>
        </w:numPr>
        <w:ind w:hanging="0" w:start="0"/>
        <w:rPr/>
      </w:pPr>
      <w:r>
        <w:rPr/>
        <w:t>It is impossible or very difficult to measure in money the damages that would accrue due to any breach of the representations and warranties made in this Section 3.04, or any failure in the performance of any of the obligations contained in this Section 3.04 and, for that reason, among others, the Parties agree that Purchaser is entitled to specific performance of this Section 3.04, besides any other remedies that may exist.  Seller waives any claim or defense that an adequate remedy at law exists, if Purchaser institutes any proceedings to enforce any provision of this Section 3.04.</w:t>
      </w:r>
    </w:p>
    <w:p>
      <w:pPr>
        <w:pStyle w:val="ArticleL2"/>
        <w:numPr>
          <w:ilvl w:val="1"/>
          <w:numId w:val="3"/>
        </w:numPr>
        <w:ind w:hanging="0" w:start="0"/>
        <w:rPr/>
      </w:pPr>
      <w:bookmarkStart w:id="19" w:name="__RefHeading___Toc489421202"/>
      <w:bookmarkEnd w:id="19"/>
      <w:r>
        <w:rPr/>
        <w:t>Access to Facility</w:t>
      </w:r>
    </w:p>
    <w:p>
      <w:pPr>
        <w:pStyle w:val="FlushLeft"/>
        <w:rPr/>
      </w:pPr>
      <w:r>
        <w:rPr/>
        <w:t xml:space="preserve">Purchaser may enter the Facility at any reasonable time after giving Seller reasonable advance notice to inspect the Facility.  Purchaser may enter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Section 3.05 in such a manner that will not interfere with Seller's operation. </w:t>
      </w:r>
    </w:p>
    <w:p>
      <w:pPr>
        <w:pStyle w:val="ArticleL1"/>
        <w:numPr>
          <w:ilvl w:val="0"/>
          <w:numId w:val="3"/>
        </w:numPr>
        <w:ind w:hanging="0" w:start="0"/>
        <w:rPr/>
      </w:pPr>
      <w:r>
        <w:rPr>
          <w:rFonts w:eastAsia="Times New Roman Bold"/>
        </w:rPr>
        <w:t xml:space="preserve">   </w:t>
      </w:r>
      <w:bookmarkStart w:id="20" w:name="__RefHeading___Toc489421203"/>
      <w:r>
        <w:rPr/>
        <w:t>Payments, Records, and Billings</w:t>
      </w:r>
      <w:bookmarkEnd w:id="20"/>
    </w:p>
    <w:p>
      <w:pPr>
        <w:pStyle w:val="ArticleL2"/>
        <w:numPr>
          <w:ilvl w:val="1"/>
          <w:numId w:val="3"/>
        </w:numPr>
        <w:ind w:hanging="0" w:start="0"/>
        <w:rPr/>
      </w:pPr>
      <w:bookmarkStart w:id="21" w:name="__RefHeading___Toc489421204"/>
      <w:bookmarkEnd w:id="21"/>
      <w:r>
        <w:rPr/>
        <w:t>Quantity Sold</w:t>
      </w:r>
    </w:p>
    <w:p>
      <w:pPr>
        <w:pStyle w:val="FlushLeft"/>
        <w:rPr>
          <w:ins w:id="58" w:author="Michael J. Curry" w:date="2000-07-31T19:47:00Z"/>
        </w:rPr>
      </w:pPr>
      <w:r>
        <w:rPr/>
        <w:t>Seller shall sell and deliver, and Purchaser shall purchase and accept, all of the [Renewable Energy] produced by the Facility during the Production Term.  For the avoidance of doubt, Seller shall sell and deliver, and Purchaser shall purchase and accept all of the [Renewable Energy] produced by the Facility commencing at the start of the Production Term.</w:t>
      </w:r>
      <w:del w:id="56" w:author="EI" w:date="2000-08-01T11:43:00Z">
        <w:r>
          <w:rPr/>
          <w:delText xml:space="preserve"> </w:delText>
        </w:r>
      </w:del>
      <w:r>
        <w:rPr/>
        <w:t xml:space="preserve"> Commencing in the Contract Year beginning January 1, 2002 and for each Contract Year thereafter, subject to the offsets described in Section 4.04(e) and for the Uncontrollable Force Deficiency described in Section 4.05, Seller guarantees the delivery, commencing in the Contract Year ending December 31, 2002, of 500,000 MWh of [Renewable Energy] (the "</w:t>
      </w:r>
      <w:r>
        <w:rPr>
          <w:u w:val="single"/>
        </w:rPr>
        <w:t>Annual Quantity</w:t>
      </w:r>
      <w:r>
        <w:rPr/>
        <w:t>") to the Delivery Point in each Contract Year.  The Parties acknowledge and agree that in connection with the purchase of Renewable Energy under this Agreement, Purchaser shall also be entitled to take title to all existing and future renewable energy or ‘green credits</w:t>
      </w:r>
      <w:ins w:id="57" w:author="dportz" w:date="2000-08-01T08:23:00Z">
        <w:r>
          <w:rPr/>
          <w:t>’</w:t>
        </w:r>
      </w:ins>
      <w:r>
        <w:rPr/>
        <w:t xml:space="preserve"> and attributes (whether relating to renewable energy generation or in relation to any other environmentally related program or incentive structure), other than the federal production tax credits or any replacement thereof, associated with the Renewable Energy produced by the Facility that may be available under federal, state and local laws. </w:t>
      </w:r>
    </w:p>
    <w:p>
      <w:pPr>
        <w:pStyle w:val="FlushLeft"/>
        <w:rPr/>
      </w:pPr>
      <w:ins w:id="59" w:author="dportz" w:date="2000-08-01T08:19:00Z">
        <w:r>
          <w:rPr/>
          <w:t>Commenci</w:t>
        </w:r>
      </w:ins>
      <w:ins w:id="60" w:author="dportz" w:date="2000-08-01T08:47:00Z">
        <w:r>
          <w:rPr/>
          <w:t>n</w:t>
        </w:r>
      </w:ins>
      <w:ins w:id="61" w:author="dportz" w:date="2000-08-01T08:19:00Z">
        <w:r>
          <w:rPr/>
          <w:t xml:space="preserve">g at the Effective Date, </w:t>
        </w:r>
      </w:ins>
      <w:ins w:id="62" w:author="Michael J. Curry" w:date="2000-07-31T19:47:00Z">
        <w:r>
          <w:rPr/>
          <w:t xml:space="preserve">Purchaser </w:t>
        </w:r>
      </w:ins>
      <w:ins w:id="63" w:author="Michael J. Curry" w:date="2000-07-31T19:59:00Z">
        <w:r>
          <w:rPr/>
          <w:t>ha</w:t>
        </w:r>
      </w:ins>
      <w:ins w:id="64" w:author="dportz" w:date="2000-08-01T08:19:00Z">
        <w:r>
          <w:rPr/>
          <w:t>s</w:t>
        </w:r>
      </w:ins>
      <w:ins w:id="65" w:author="Michael J. Curry" w:date="2000-07-31T19:59:00Z">
        <w:r>
          <w:rPr/>
          <w:t xml:space="preserve"> the </w:t>
        </w:r>
      </w:ins>
      <w:ins w:id="66" w:author="dportz" w:date="2000-08-01T08:19:00Z">
        <w:r>
          <w:rPr/>
          <w:t>right</w:t>
        </w:r>
      </w:ins>
      <w:ins w:id="67" w:author="Michael J. Curry" w:date="2000-07-31T19:59:00Z">
        <w:r>
          <w:rPr/>
          <w:t>, but not the obligation, to</w:t>
        </w:r>
      </w:ins>
      <w:ins w:id="68" w:author="Michael J. Curry" w:date="2000-07-31T19:47:00Z">
        <w:r>
          <w:rPr/>
          <w:t xml:space="preserve"> </w:t>
        </w:r>
      </w:ins>
      <w:ins w:id="69" w:author="dportz" w:date="2000-08-01T08:20:00Z">
        <w:r>
          <w:rPr/>
          <w:t xml:space="preserve">require Seller to </w:t>
        </w:r>
      </w:ins>
      <w:ins w:id="70" w:author="Michael J. Curry" w:date="2000-07-31T19:47:00Z">
        <w:r>
          <w:rPr/>
          <w:t xml:space="preserve">operate the Facility in such a manner as to provide </w:t>
        </w:r>
      </w:ins>
      <w:ins w:id="71" w:author="Michael J. Curry" w:date="2000-07-31T19:47:00Z">
        <w:del w:id="72" w:author="EI" w:date="2000-08-01T12:01:00Z">
          <w:r>
            <w:rPr/>
            <w:delText>anciliary</w:delText>
          </w:r>
        </w:del>
      </w:ins>
      <w:ins w:id="73" w:author="EI" w:date="2000-08-01T12:01:00Z">
        <w:r>
          <w:rPr/>
          <w:t>ancillary</w:t>
        </w:r>
      </w:ins>
      <w:ins w:id="74" w:author="Michael J. Curry" w:date="2000-07-31T19:48:00Z">
        <w:r>
          <w:rPr/>
          <w:t xml:space="preserve"> services or reactive voltage to the ERCOT transmission system</w:t>
        </w:r>
      </w:ins>
      <w:ins w:id="75" w:author="Michael J. Curry" w:date="2000-07-31T19:50:00Z">
        <w:r>
          <w:rPr/>
          <w:t xml:space="preserve"> (“Alternate Operations”)</w:t>
        </w:r>
      </w:ins>
      <w:ins w:id="76" w:author="Michael J. Curry" w:date="2000-07-31T19:48:00Z">
        <w:r>
          <w:rPr/>
          <w:t xml:space="preserve">.  During </w:t>
        </w:r>
      </w:ins>
      <w:ins w:id="77" w:author="Michael J. Curry" w:date="2000-07-31T19:59:00Z">
        <w:r>
          <w:rPr/>
          <w:t>Alternate Operations</w:t>
        </w:r>
      </w:ins>
      <w:ins w:id="78" w:author="Michael J. Curry" w:date="2000-07-31T19:51:00Z">
        <w:r>
          <w:rPr/>
          <w:t>,</w:t>
        </w:r>
      </w:ins>
      <w:ins w:id="79" w:author="Michael J. Curry" w:date="2000-07-31T19:48:00Z">
        <w:r>
          <w:rPr/>
          <w:t xml:space="preserve"> Purchaser shall keep Seller whole in respect to payment for Renewable Energy not generated due to Purchaser</w:t>
        </w:r>
      </w:ins>
      <w:ins w:id="80" w:author="Michael J. Curry" w:date="2000-07-31T19:50:00Z">
        <w:r>
          <w:rPr/>
          <w:t xml:space="preserve">’s Alternate Operations.  Purchaser and Seller shall mutually agree to </w:t>
        </w:r>
      </w:ins>
      <w:ins w:id="81" w:author="dportz" w:date="2000-08-01T08:21:00Z">
        <w:r>
          <w:rPr/>
          <w:t>“</w:t>
        </w:r>
      </w:ins>
      <w:ins w:id="82" w:author="Michael J. Curry" w:date="2000-07-31T19:53:00Z">
        <w:r>
          <w:rPr/>
          <w:t>k</w:t>
        </w:r>
      </w:ins>
      <w:ins w:id="83" w:author="Michael J. Curry" w:date="2000-07-31T19:51:00Z">
        <w:r>
          <w:rPr/>
          <w:t xml:space="preserve">eep </w:t>
        </w:r>
      </w:ins>
      <w:ins w:id="84" w:author="Michael J. Curry" w:date="2000-07-31T19:53:00Z">
        <w:r>
          <w:rPr/>
          <w:t>w</w:t>
        </w:r>
      </w:ins>
      <w:ins w:id="85" w:author="Michael J. Curry" w:date="2000-07-31T19:51:00Z">
        <w:r>
          <w:rPr/>
          <w:t>hole</w:t>
        </w:r>
      </w:ins>
      <w:ins w:id="86" w:author="dportz" w:date="2000-08-01T08:21:00Z">
        <w:r>
          <w:rPr/>
          <w:t>”</w:t>
        </w:r>
      </w:ins>
      <w:ins w:id="87" w:author="Michael J. Curry" w:date="2000-07-31T19:51:00Z">
        <w:r>
          <w:rPr/>
          <w:t xml:space="preserve"> </w:t>
        </w:r>
      </w:ins>
      <w:ins w:id="88" w:author="Michael J. Curry" w:date="2000-07-31T19:54:00Z">
        <w:r>
          <w:rPr/>
          <w:t>provisions on an ongoing basis</w:t>
        </w:r>
      </w:ins>
      <w:ins w:id="89" w:author="Michael J. Curry" w:date="2000-07-31T19:56:00Z">
        <w:r>
          <w:rPr/>
          <w:t xml:space="preserve">.  </w:t>
        </w:r>
      </w:ins>
      <w:ins w:id="90" w:author="dportz" w:date="2000-08-01T08:21:00Z">
        <w:r>
          <w:rPr/>
          <w:t>“</w:t>
        </w:r>
      </w:ins>
      <w:ins w:id="91" w:author="Michael J. Curry" w:date="2000-07-31T19:57:00Z">
        <w:r>
          <w:rPr/>
          <w:t>Keep whole</w:t>
        </w:r>
      </w:ins>
      <w:ins w:id="92" w:author="dportz" w:date="2000-08-01T08:21:00Z">
        <w:r>
          <w:rPr/>
          <w:t>”</w:t>
        </w:r>
      </w:ins>
      <w:ins w:id="93" w:author="Michael J. Curry" w:date="2000-07-31T19:57:00Z">
        <w:r>
          <w:rPr/>
          <w:t xml:space="preserve"> payments </w:t>
        </w:r>
      </w:ins>
      <w:ins w:id="94" w:author="Michael J. Curry" w:date="2000-07-31T19:55:00Z">
        <w:r>
          <w:rPr/>
          <w:t xml:space="preserve">shall </w:t>
        </w:r>
      </w:ins>
      <w:ins w:id="95" w:author="Michael J. Curry" w:date="2000-07-31T19:57:00Z">
        <w:r>
          <w:rPr/>
          <w:t xml:space="preserve">be </w:t>
        </w:r>
      </w:ins>
      <w:ins w:id="96" w:author="Michael J. Curry" w:date="2000-07-31T19:55:00Z">
        <w:r>
          <w:rPr/>
          <w:t>base</w:t>
        </w:r>
      </w:ins>
      <w:ins w:id="97" w:author="Michael J. Curry" w:date="2000-07-31T19:57:00Z">
        <w:r>
          <w:rPr/>
          <w:t xml:space="preserve">d on the </w:t>
        </w:r>
      </w:ins>
      <w:ins w:id="98" w:author="Michael J. Curry" w:date="2000-07-31T19:55:00Z">
        <w:r>
          <w:rPr/>
          <w:t>historical operating history</w:t>
        </w:r>
      </w:ins>
      <w:ins w:id="99" w:author="Michael J. Curry" w:date="2000-07-31T19:57:00Z">
        <w:r>
          <w:rPr/>
          <w:t xml:space="preserve"> of the facility</w:t>
        </w:r>
      </w:ins>
      <w:ins w:id="100" w:author="Michael J. Curry" w:date="2000-07-31T20:00:00Z">
        <w:r>
          <w:rPr/>
          <w:t xml:space="preserve">, the Full Price for Net Energy, </w:t>
        </w:r>
      </w:ins>
      <w:ins w:id="101" w:author="dportz" w:date="2000-08-01T08:21:00Z">
        <w:r>
          <w:rPr/>
          <w:t xml:space="preserve">the operating conditions during such period that Purchaser exercises the option staed herein, </w:t>
        </w:r>
      </w:ins>
      <w:ins w:id="102" w:author="Michael J. Curry" w:date="2000-07-31T20:00:00Z">
        <w:r>
          <w:rPr/>
          <w:t>and other rel</w:t>
        </w:r>
      </w:ins>
      <w:ins w:id="103" w:author="dportz" w:date="2000-08-01T08:21:00Z">
        <w:r>
          <w:rPr/>
          <w:t>e</w:t>
        </w:r>
      </w:ins>
      <w:ins w:id="104" w:author="Michael J. Curry" w:date="2000-07-31T20:00:00Z">
        <w:r>
          <w:rPr/>
          <w:t>vant factors</w:t>
        </w:r>
      </w:ins>
      <w:ins w:id="105" w:author="Michael J. Curry" w:date="2000-07-31T19:58:00Z">
        <w:r>
          <w:rPr/>
          <w:t xml:space="preserve">.  If Purchaser is willing to compensate Seller for </w:t>
        </w:r>
      </w:ins>
      <w:ins w:id="106" w:author="dportz" w:date="2000-08-01T08:23:00Z">
        <w:r>
          <w:rPr/>
          <w:t>R</w:t>
        </w:r>
      </w:ins>
      <w:ins w:id="107" w:author="Michael J. Curry" w:date="2000-07-31T19:58:00Z">
        <w:r>
          <w:rPr/>
          <w:t xml:space="preserve">enewable </w:t>
        </w:r>
      </w:ins>
      <w:ins w:id="108" w:author="dportz" w:date="2000-08-01T08:23:00Z">
        <w:r>
          <w:rPr/>
          <w:t>E</w:t>
        </w:r>
      </w:ins>
      <w:ins w:id="109" w:author="Michael J. Curry" w:date="2000-07-31T19:58:00Z">
        <w:r>
          <w:rPr/>
          <w:t xml:space="preserve">nergy for all hours </w:t>
        </w:r>
      </w:ins>
      <w:ins w:id="110" w:author="Michael J. Curry" w:date="2000-07-31T20:03:00Z">
        <w:r>
          <w:rPr/>
          <w:t xml:space="preserve">during Alternate Operations </w:t>
        </w:r>
      </w:ins>
      <w:ins w:id="111" w:author="Michael J. Curry" w:date="2000-07-31T19:58:00Z">
        <w:r>
          <w:rPr/>
          <w:t xml:space="preserve">at the </w:t>
        </w:r>
      </w:ins>
      <w:ins w:id="112" w:author="Michael J. Curry" w:date="2000-07-31T20:02:00Z">
        <w:r>
          <w:rPr/>
          <w:t>maximum installed capacity</w:t>
        </w:r>
      </w:ins>
      <w:ins w:id="113" w:author="Michael J. Curry" w:date="2000-07-31T20:04:00Z">
        <w:r>
          <w:rPr/>
          <w:t xml:space="preserve"> of the Facility</w:t>
        </w:r>
      </w:ins>
      <w:ins w:id="114" w:author="Michael J. Curry" w:date="2000-07-31T20:01:00Z">
        <w:r>
          <w:rPr/>
          <w:t xml:space="preserve">, Seller </w:t>
        </w:r>
      </w:ins>
      <w:ins w:id="115" w:author="Michael J. Curry" w:date="2000-07-31T20:04:00Z">
        <w:r>
          <w:rPr/>
          <w:t>can not withhold its approval for Purchaser’s Alternate Operations.</w:t>
        </w:r>
      </w:ins>
      <w:ins w:id="116" w:author="Michael J. Curry" w:date="2000-07-31T20:01:00Z">
        <w:r>
          <w:rPr/>
          <w:t xml:space="preserve"> </w:t>
        </w:r>
      </w:ins>
      <w:ins w:id="117" w:author="Michael J. Curry" w:date="2000-07-31T19:54:00Z">
        <w:r>
          <w:rPr/>
          <w:t xml:space="preserve"> </w:t>
        </w:r>
      </w:ins>
    </w:p>
    <w:p>
      <w:pPr>
        <w:pStyle w:val="ArticleL2"/>
        <w:numPr>
          <w:ilvl w:val="1"/>
          <w:numId w:val="3"/>
        </w:numPr>
        <w:ind w:hanging="0" w:start="0"/>
        <w:rPr/>
      </w:pPr>
      <w:bookmarkStart w:id="22" w:name="__RefHeading___Toc489421205"/>
      <w:bookmarkEnd w:id="22"/>
      <w:r>
        <w:rPr/>
        <w:t>Monthly Payments</w:t>
      </w:r>
    </w:p>
    <w:p>
      <w:pPr>
        <w:pStyle w:val="FlushLeft"/>
        <w:rPr/>
      </w:pPr>
      <w:r>
        <w:rPr/>
        <w:t xml:space="preserve">Purchaser shall pay Seller monthly for all </w:t>
      </w:r>
      <w:del w:id="118" w:author="EI" w:date="2000-08-01T14:49:00Z">
        <w:r>
          <w:rPr/>
          <w:delText>[</w:delText>
        </w:r>
      </w:del>
      <w:r>
        <w:rPr/>
        <w:t>Renewable Energy</w:t>
      </w:r>
      <w:del w:id="119" w:author="EI" w:date="2000-08-01T14:49:00Z">
        <w:r>
          <w:rPr/>
          <w:delText>]</w:delText>
        </w:r>
      </w:del>
      <w:r>
        <w:rPr/>
        <w:t xml:space="preserve"> produced by the Facility in the preceding calendar month.  The price for each MWh of </w:t>
      </w:r>
      <w:del w:id="120" w:author="EI" w:date="2000-08-01T14:49:00Z">
        <w:r>
          <w:rPr/>
          <w:delText>[</w:delText>
        </w:r>
      </w:del>
      <w:r>
        <w:rPr/>
        <w:t>Renewable Energy</w:t>
      </w:r>
      <w:del w:id="121" w:author="EI" w:date="2000-08-01T14:49:00Z">
        <w:r>
          <w:rPr/>
          <w:delText>]</w:delText>
        </w:r>
      </w:del>
      <w:r>
        <w:rPr/>
        <w:t xml:space="preserve"> produced and delivered to the Delivery Point in 2001 is the Full Price.  For each Contract Year after 2001, the price (a) for each MWh of </w:t>
      </w:r>
      <w:del w:id="122" w:author="EI" w:date="2000-08-01T14:49:00Z">
        <w:r>
          <w:rPr/>
          <w:delText>[</w:delText>
        </w:r>
      </w:del>
      <w:r>
        <w:rPr/>
        <w:t>Renewable Energy</w:t>
      </w:r>
      <w:del w:id="123" w:author="EI" w:date="2000-08-01T14:50:00Z">
        <w:r>
          <w:rPr/>
          <w:delText>]</w:delText>
        </w:r>
      </w:del>
      <w:r>
        <w:rPr/>
        <w:t xml:space="preserve"> produced and delivered to the Delivery Point in such Contract Year up to 105% of the Annual Quantity is the Full Price and (b) for all </w:t>
      </w:r>
      <w:del w:id="124" w:author="EI" w:date="2000-08-01T14:50:00Z">
        <w:r>
          <w:rPr/>
          <w:delText>[</w:delText>
        </w:r>
      </w:del>
      <w:r>
        <w:rPr/>
        <w:t>Renewable Energy</w:t>
      </w:r>
      <w:del w:id="125" w:author="EI" w:date="2000-08-01T14:50:00Z">
        <w:r>
          <w:rPr/>
          <w:delText>]</w:delText>
        </w:r>
      </w:del>
      <w:r>
        <w:rPr/>
        <w:t xml:space="preserve"> produced in such Contract Year in excess of 105% of the Annual Quantity is 50% of the Full Price, subject to a possible additional payment for the </w:t>
      </w:r>
      <w:del w:id="126" w:author="EI" w:date="2000-08-01T14:50:00Z">
        <w:r>
          <w:rPr/>
          <w:delText>[</w:delText>
        </w:r>
      </w:del>
      <w:r>
        <w:rPr/>
        <w:t>Renewable Energy</w:t>
      </w:r>
      <w:del w:id="127" w:author="EI" w:date="2000-08-01T14:50:00Z">
        <w:r>
          <w:rPr/>
          <w:delText>]</w:delText>
        </w:r>
      </w:del>
      <w:r>
        <w:rPr/>
        <w:t xml:space="preserve"> as described in Section 4.04(d)(ii)(C).  The "</w:t>
      </w:r>
      <w:r>
        <w:rPr>
          <w:u w:val="single"/>
        </w:rPr>
        <w:t>Full Price</w:t>
      </w:r>
      <w:r>
        <w:rPr/>
        <w:t xml:space="preserve">" is $24.05 per MWh for the initial Production Term, $31.25 per MWh for the first optional five-year extension of the Production Term under Section 1.03, and $35.00 per MWh for the second five-year optional extension of the Production Term under Section 1.03.  </w:t>
      </w:r>
    </w:p>
    <w:p>
      <w:pPr>
        <w:pStyle w:val="ArticleL2"/>
        <w:numPr>
          <w:ilvl w:val="1"/>
          <w:numId w:val="3"/>
        </w:numPr>
        <w:ind w:hanging="0" w:start="0"/>
        <w:rPr/>
      </w:pPr>
      <w:bookmarkStart w:id="23" w:name="__RefHeading___Toc489421206"/>
      <w:bookmarkEnd w:id="23"/>
      <w:r>
        <w:rPr/>
        <w:t>Quarterly Reconciliation</w:t>
      </w:r>
    </w:p>
    <w:p>
      <w:pPr>
        <w:pStyle w:val="FlushLeft"/>
        <w:rPr/>
      </w:pPr>
      <w:r>
        <w:rPr/>
        <w:t>At the end of each calendar quarter, after the PUCT's program administrator of the REC trading program (the "</w:t>
      </w:r>
      <w:r>
        <w:rPr>
          <w:u w:val="single"/>
        </w:rPr>
        <w:t>Program Administrator</w:t>
      </w:r>
      <w:r>
        <w:rPr/>
        <w:t xml:space="preserve">") credits the account of the Facility with RECs based upon the metered generation of the Facility for the quarter, then the Seller shall immediately transfer those RECs to Purchaser.  To the extent that the RECs credited by the Program Administrator for that quarter are less than the MWh paid for under Section 4.02 for that quarter, then Seller shall pay Purchaser an amount equal to the product of (a) the </w:t>
      </w:r>
      <w:ins w:id="128" w:author="EI" w:date="2000-08-01T14:51:00Z">
        <w:r>
          <w:rPr/>
          <w:t xml:space="preserve">pertinent </w:t>
        </w:r>
      </w:ins>
      <w:r>
        <w:rPr/>
        <w:t xml:space="preserve">Full Price for </w:t>
      </w:r>
      <w:del w:id="129" w:author="EI" w:date="2000-08-01T14:51:00Z">
        <w:r>
          <w:rPr/>
          <w:delText xml:space="preserve">those </w:delText>
        </w:r>
      </w:del>
      <w:r>
        <w:rPr/>
        <w:t>MWh</w:t>
      </w:r>
      <w:ins w:id="130" w:author="EI" w:date="2000-08-01T14:51:00Z">
        <w:r>
          <w:rPr/>
          <w:t xml:space="preserve"> of Renewable Energy</w:t>
        </w:r>
      </w:ins>
      <w:r>
        <w:rPr/>
        <w:t xml:space="preserve"> under Section 4.02, and (b) the difference between the MWh paid for under Section 4.02 and the MWh of RECs credited and transferred</w:t>
      </w:r>
      <w:ins w:id="131" w:author="EI" w:date="2000-08-01T14:52:00Z">
        <w:r>
          <w:rPr/>
          <w:t xml:space="preserve">, measured by the amount of RECs created </w:t>
        </w:r>
      </w:ins>
      <w:ins w:id="132" w:author="EI" w:date="2000-08-01T15:01:00Z">
        <w:r>
          <w:rPr/>
          <w:t>and transferred by the Project Administrator</w:t>
        </w:r>
      </w:ins>
      <w:r>
        <w:rPr/>
        <w:t>.  To the extent that the RECs credited by the Program Administrator for that quarter are more than the MWh paid for under Section 4.02 for that quarter, then Purchaser shall pay Seller an amount equal to the product of (a) the Full Price for those MWh under Section 4.02, and (b) the difference between the MWh paid for under Section 4.02 and the MWh of RECs credited and transferred</w:t>
      </w:r>
      <w:ins w:id="133" w:author="EI" w:date="2000-08-01T15:02:00Z">
        <w:r>
          <w:rPr/>
          <w:t>, measured by the amount of RECs created and transferred by the Project Administrator</w:t>
        </w:r>
      </w:ins>
      <w:r>
        <w:rPr/>
        <w:t>.  Payment is due on the last day of the calendar month immediately following the calendar month in which the Program Administrator decides how many RECs to credit to the account of the Facility.</w:t>
      </w:r>
    </w:p>
    <w:p>
      <w:pPr>
        <w:pStyle w:val="ArticleL2"/>
        <w:numPr>
          <w:ilvl w:val="1"/>
          <w:numId w:val="3"/>
        </w:numPr>
        <w:ind w:hanging="0" w:start="0"/>
        <w:rPr/>
      </w:pPr>
      <w:bookmarkStart w:id="24" w:name="__RefHeading___Toc489421207"/>
      <w:bookmarkStart w:id="25" w:name="_Ref485450229"/>
      <w:bookmarkEnd w:id="24"/>
      <w:r>
        <w:rPr/>
        <w:t>Annual Reconciliation</w:t>
      </w:r>
      <w:bookmarkEnd w:id="25"/>
    </w:p>
    <w:p>
      <w:pPr>
        <w:pStyle w:val="ArticleL3"/>
        <w:numPr>
          <w:ilvl w:val="2"/>
          <w:numId w:val="3"/>
        </w:numPr>
        <w:ind w:hanging="0" w:start="0"/>
        <w:rPr/>
      </w:pPr>
      <w:r>
        <w:rPr/>
        <w:t xml:space="preserve">At the end of each Contract Year, beginning with the Contract Year ended December 31, 2002, the Annual Excess and Annual Deficiency (each as defined below) shall be calculated to determine whether or not Seller is liable for Deficiency Payments for such Contract Year pursuant to Section 4.04(f).  </w:t>
      </w:r>
    </w:p>
    <w:p>
      <w:pPr>
        <w:pStyle w:val="ArticleL3"/>
        <w:numPr>
          <w:ilvl w:val="2"/>
          <w:numId w:val="3"/>
        </w:numPr>
        <w:ind w:hanging="0" w:start="0"/>
        <w:rPr>
          <w:b/>
        </w:rPr>
      </w:pPr>
      <w:r>
        <w:rPr/>
        <w:t>For purposes of this Agreement, the "</w:t>
      </w:r>
      <w:r>
        <w:rPr>
          <w:u w:val="single"/>
        </w:rPr>
        <w:t>Annual Excess</w:t>
      </w:r>
      <w:r>
        <w:rPr/>
        <w:t>" shall mean, (i) for the Contract Year ended December 31, 2002, the amount (rounded to the nearest megawatt hour), if any, by which the</w:t>
      </w:r>
      <w:ins w:id="134" w:author="EI" w:date="2000-08-01T14:55:00Z">
        <w:r>
          <w:rPr/>
          <w:t xml:space="preserve"> Renewable Energy </w:t>
        </w:r>
      </w:ins>
      <w:del w:id="135" w:author="EI" w:date="2000-08-01T14:54:00Z">
        <w:r>
          <w:rPr/>
          <w:delText xml:space="preserve"> [Renewable Energy] </w:delText>
        </w:r>
      </w:del>
      <w:r>
        <w:rPr/>
        <w:t xml:space="preserve">produced by the Facility in the period from the Starting Date (inclusive) through December 31, 2002 exceeds the Annual Quantity for the Contract Year ended December 31, 2002, and (ii) for each Contract Year occurring after 2002, the amount (rounded to the nearest megawatt hour), if any, by which the </w:t>
      </w:r>
      <w:del w:id="136" w:author="EI" w:date="2000-08-01T14:55:00Z">
        <w:r>
          <w:rPr/>
          <w:delText>[</w:delText>
        </w:r>
      </w:del>
      <w:r>
        <w:rPr/>
        <w:t>Renewable Energy</w:t>
      </w:r>
      <w:del w:id="137" w:author="EI" w:date="2000-08-01T14:55:00Z">
        <w:r>
          <w:rPr/>
          <w:delText>]</w:delText>
        </w:r>
      </w:del>
      <w:r>
        <w:rPr/>
        <w:t xml:space="preserve"> produced in such Contract Year exceeds the Annual Quantity.  </w:t>
      </w:r>
    </w:p>
    <w:p>
      <w:pPr>
        <w:pStyle w:val="ArticleL3"/>
        <w:numPr>
          <w:ilvl w:val="2"/>
          <w:numId w:val="3"/>
        </w:numPr>
        <w:ind w:hanging="0" w:start="0"/>
        <w:rPr>
          <w:b/>
        </w:rPr>
      </w:pPr>
      <w:r>
        <w:rPr/>
        <w:t>In addition, the following definitions shall apply for each Contract Year occurring after 2002.</w:t>
      </w:r>
    </w:p>
    <w:p>
      <w:pPr>
        <w:pStyle w:val="ArticleL4"/>
        <w:numPr>
          <w:ilvl w:val="3"/>
          <w:numId w:val="3"/>
        </w:numPr>
        <w:ind w:hanging="0" w:start="0"/>
        <w:rPr>
          <w:b/>
          <w:u w:val="double"/>
        </w:rPr>
      </w:pPr>
      <w:r>
        <w:rPr/>
        <w:t>The "Annual Full-Price Excess" shall equal the Annual Excess if the Annual Excess is 5% or less of the Annual Quantity in such Contract Year.</w:t>
      </w:r>
    </w:p>
    <w:p>
      <w:pPr>
        <w:pStyle w:val="ArticleL4"/>
        <w:numPr>
          <w:ilvl w:val="3"/>
          <w:numId w:val="3"/>
        </w:numPr>
        <w:ind w:hanging="0" w:start="0"/>
        <w:rPr/>
      </w:pPr>
      <w:r>
        <w:rPr/>
        <w:t>If the Annual Excess is greater than 5% of the Annual Quantity, then the "Annual Full-Price Excess" shall equal 5% of the Annual Quantity, and the "Annual Half-Price Excess" shall equal the amount, if any, by which the Annual Excess exceeds 5% of the Annual Quantity in such Contract Year.</w:t>
      </w:r>
    </w:p>
    <w:p>
      <w:pPr>
        <w:pStyle w:val="ArticleL4"/>
        <w:numPr>
          <w:ilvl w:val="3"/>
          <w:numId w:val="3"/>
        </w:numPr>
        <w:ind w:hanging="0" w:start="0"/>
        <w:rPr/>
      </w:pPr>
      <w:r>
        <w:rPr/>
        <w:t>The "Net Full-Price Excess" in such Contract Year shall equal the sum of the Annual Full-Price Excess for such Contract Year plus the Net Full-Price Excess for the previous Contract Year.</w:t>
      </w:r>
    </w:p>
    <w:p>
      <w:pPr>
        <w:pStyle w:val="ArticleL4"/>
        <w:numPr>
          <w:ilvl w:val="3"/>
          <w:numId w:val="3"/>
        </w:numPr>
        <w:ind w:hanging="0" w:start="0"/>
        <w:rPr/>
      </w:pPr>
      <w:r>
        <w:rPr/>
        <w:t>The "Net Half-Price Excess" in such Contract Year shall equal the sum of the Annual Half-Price Excess for such Contract Year plus the Net Half-Price Excess for the previous Contract Year.</w:t>
      </w:r>
    </w:p>
    <w:p>
      <w:pPr>
        <w:pStyle w:val="ArticleL3"/>
        <w:numPr>
          <w:ilvl w:val="2"/>
          <w:numId w:val="3"/>
        </w:numPr>
        <w:ind w:hanging="0" w:start="0"/>
        <w:rPr>
          <w:b/>
          <w:u w:val="double"/>
        </w:rPr>
      </w:pPr>
      <w:r>
        <w:rPr/>
        <w:t xml:space="preserve">If the number of </w:t>
      </w:r>
      <w:ins w:id="138" w:author="EI" w:date="2000-08-01T14:56:00Z">
        <w:r>
          <w:rPr/>
          <w:t xml:space="preserve">RECs credited by the </w:t>
        </w:r>
      </w:ins>
      <w:ins w:id="139" w:author="EI" w:date="2000-08-01T15:03:00Z">
        <w:r>
          <w:rPr/>
          <w:t>Project Administrator representative</w:t>
        </w:r>
      </w:ins>
      <w:del w:id="140" w:author="EI" w:date="2000-08-01T14:56:00Z">
        <w:r>
          <w:rPr/>
          <w:delText>[Renewable Energy]</w:delText>
        </w:r>
      </w:del>
      <w:r>
        <w:rPr/>
        <w:t xml:space="preserve"> produced in any Contract Year (beginning with the Contract Year ended December 31, 2002) is less than the Adjusted Annual Quantity, the amount by which the Adjusted Annual Quantity in such Contract Year exceeds the amount of </w:t>
      </w:r>
      <w:del w:id="141" w:author="EI" w:date="2000-08-01T14:57:00Z">
        <w:r>
          <w:rPr/>
          <w:delText>[</w:delText>
        </w:r>
      </w:del>
      <w:r>
        <w:rPr/>
        <w:t>Renewable Energy</w:t>
      </w:r>
      <w:del w:id="142" w:author="EI" w:date="2000-08-01T14:57:00Z">
        <w:r>
          <w:rPr/>
          <w:delText>]</w:delText>
        </w:r>
      </w:del>
      <w:r>
        <w:rPr/>
        <w:t xml:space="preserve"> produced by the Facility in such Contract Year is called the </w:t>
      </w:r>
      <w:ins w:id="143" w:author="EI" w:date="2000-08-01T14:57:00Z">
        <w:r>
          <w:rPr/>
          <w:t>“Annual</w:t>
        </w:r>
      </w:ins>
      <w:ins w:id="144" w:author="EI" w:date="2000-08-01T15:03:00Z">
        <w:r>
          <w:rPr/>
          <w:t xml:space="preserve"> </w:t>
        </w:r>
      </w:ins>
      <w:del w:id="145" w:author="EI" w:date="2000-08-01T14:57:00Z">
        <w:r>
          <w:rPr/>
          <w:delText>"</w:delText>
        </w:r>
      </w:del>
      <w:del w:id="146" w:author="EI" w:date="2000-08-01T14:57:00Z">
        <w:r>
          <w:rPr>
            <w:u w:val="single"/>
          </w:rPr>
          <w:delText xml:space="preserve">Annual </w:delText>
        </w:r>
      </w:del>
      <w:r>
        <w:rPr>
          <w:u w:val="single"/>
        </w:rPr>
        <w:t>Deficiency</w:t>
      </w:r>
      <w:r>
        <w:rPr/>
        <w:t>," and the Annual Deficiency in each such Contract Year is then compared to the Net Full-Price Excess and the Net Half-Price Excess, as applicable, for the previous Contract Year to determine Seller's liability, if any, for Deficiency Payments under Section 4.04(f) based on the following procedure.</w:t>
      </w:r>
      <w:r>
        <w:rPr>
          <w:b/>
          <w:u w:val="double"/>
        </w:rPr>
        <w:t xml:space="preserve">  </w:t>
      </w:r>
    </w:p>
    <w:p>
      <w:pPr>
        <w:pStyle w:val="ArticleL4"/>
        <w:numPr>
          <w:ilvl w:val="0"/>
          <w:numId w:val="0"/>
        </w:numPr>
        <w:ind w:hanging="720" w:start="1440" w:end="0"/>
        <w:rPr/>
      </w:pPr>
      <w:r>
        <w:rPr/>
        <w:t>(i)</w:t>
        <w:tab/>
        <w:t xml:space="preserve">If the Annual Deficiency in any Contract Year is less than the Net Full-Price Excess for the immediately preceding Contract Year, then the amount by which such Net Full-Price Excess exceeds such Annual Deficiency shall be the Net Full-Price Excess for such Contract Year and the Net Half-Price Excess for such Contract Year shall be the same as the Net Half-Price Excess for the previous Contract Year. </w:t>
      </w:r>
    </w:p>
    <w:p>
      <w:pPr>
        <w:pStyle w:val="ArticleL4"/>
        <w:numPr>
          <w:ilvl w:val="0"/>
          <w:numId w:val="0"/>
        </w:numPr>
        <w:ind w:hanging="720" w:start="1440" w:end="0"/>
        <w:rPr/>
      </w:pPr>
      <w:r>
        <w:rPr/>
        <w:t>(ii)</w:t>
        <w:tab/>
        <w:t>If the Annual Deficiency in any Contract Year is greater than the Net Full-Price Excess for the immediately preceding Contract Year, then the amount by which the Annual Deficiency exceeds the Net Full-Price Excess shall be the Annual Half-Price Deficiency for such Contract Year, and the Net Full-Price Excess for such Contract Year shall be zero.  The Annual Half-Price Deficiency in each Contract Year shall then be compared to the Net Half-Price Excess for the previous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(A)</w:t>
        <w:tab/>
        <w:t>If the Annual Half-Price Deficiency for any Contract Year is less than the Net Half-Price Excess for the immediately preceding Contract Year, then the amount by which the Net-Half Price Excess exceeds the Annual Half-Price Deficiency shall be the Net Half-Price Excess for such Contract Year.</w:t>
      </w:r>
    </w:p>
    <w:p>
      <w:pPr>
        <w:pStyle w:val="ContractL6"/>
        <w:widowControl/>
        <w:tabs>
          <w:tab w:val="clear" w:pos="720"/>
          <w:tab w:val="clear" w:pos="1152"/>
          <w:tab w:val="clear" w:pos="1440"/>
          <w:tab w:val="clear" w:pos="2160"/>
          <w:tab w:val="clear" w:pos="2880"/>
          <w:tab w:val="clear" w:pos="3600"/>
          <w:tab w:val="clear" w:pos="4320"/>
        </w:tabs>
        <w:spacing w:before="240" w:after="0"/>
        <w:ind w:start="2160" w:end="0"/>
        <w:rPr/>
      </w:pPr>
      <w:r>
        <w:rPr/>
        <w:t>(B)</w:t>
        <w:tab/>
        <w:t>If the Annual Half-Price Deficiency for any Contract Year is greater than the Net Half-Price Excess for the immediately preceding Contract Year, then the amount by which the Annual Half-Price Deficiency exceeds the Net Half-Price Excess shall be the Net Deficiency for such Contract Year, and the Net Half-Price Excess for such Contract Year shall be zero.</w:t>
      </w:r>
    </w:p>
    <w:p>
      <w:pPr>
        <w:pStyle w:val="ContractL6"/>
        <w:spacing w:before="240" w:after="240"/>
        <w:ind w:start="2160" w:end="0"/>
        <w:rPr/>
      </w:pPr>
      <w:r>
        <w:rPr/>
        <w:t>(C)</w:t>
        <w:tab/>
        <w:t>In each Contract Year, Purchaser shall pay Seller one-half of the Full Price for each MWh by which the Net Half-Price Excess for the immediately preceding Contract Year exceeds the Net Half-Price Excess for such Contract Year.</w:t>
      </w:r>
    </w:p>
    <w:p>
      <w:pPr>
        <w:pStyle w:val="ArticleL3"/>
        <w:numPr>
          <w:ilvl w:val="2"/>
          <w:numId w:val="3"/>
        </w:numPr>
        <w:spacing w:before="0" w:after="0"/>
        <w:ind w:hanging="0" w:start="0"/>
        <w:rPr/>
      </w:pPr>
      <w:bookmarkStart w:id="26" w:name="_Ref486239880"/>
      <w:bookmarkStart w:id="27" w:name="_Ref486239351"/>
      <w:bookmarkEnd w:id="27"/>
      <w:del w:id="147" w:author="Michael J. Curry" w:date="2000-07-31T19:43:00Z">
        <w:r>
          <w:rPr/>
          <w:delText>[</w:delText>
        </w:r>
      </w:del>
      <w:r>
        <w:rPr/>
        <w:t>Subject to the limitation set forth in this Section 4.04(e),</w:t>
      </w:r>
      <w:del w:id="148" w:author="Michael J. Curry" w:date="2000-07-31T19:43:00Z">
        <w:r>
          <w:rPr/>
          <w:delText>]</w:delText>
        </w:r>
      </w:del>
      <w:r>
        <w:rPr/>
        <w:t xml:space="preserve"> Seller may elect to obtain and transfer to Purchaser </w:t>
      </w:r>
      <w:del w:id="149" w:author="EI" w:date="2000-08-01T14:58:00Z">
        <w:r>
          <w:rPr/>
          <w:delText>[</w:delText>
        </w:r>
      </w:del>
      <w:r>
        <w:rPr/>
        <w:t>Renewable Energy</w:t>
      </w:r>
      <w:del w:id="150" w:author="EI" w:date="2000-08-01T14:58:00Z">
        <w:r>
          <w:rPr/>
          <w:delText>]</w:delText>
        </w:r>
      </w:del>
      <w:r>
        <w:rPr/>
        <w:t xml:space="preserve"> from sources other than the Facility (the "</w:t>
      </w:r>
      <w:r>
        <w:rPr>
          <w:u w:val="single"/>
        </w:rPr>
        <w:t xml:space="preserve">Transferred </w:t>
      </w:r>
      <w:del w:id="151" w:author="Michael J. Curry" w:date="2000-07-31T19:43:00Z">
        <w:r>
          <w:rPr>
            <w:u w:val="single"/>
          </w:rPr>
          <w:delText>[</w:delText>
        </w:r>
      </w:del>
      <w:r>
        <w:rPr>
          <w:u w:val="single"/>
        </w:rPr>
        <w:t>Renewable Energy</w:t>
      </w:r>
      <w:del w:id="152" w:author="Michael J. Curry" w:date="2000-07-31T19:43:00Z">
        <w:r>
          <w:rPr>
            <w:u w:val="single"/>
          </w:rPr>
          <w:delText>]</w:delText>
        </w:r>
      </w:del>
      <w:r>
        <w:rPr/>
        <w:t xml:space="preserve">") in order to offset, in whole or in part, the Annual Deficiency in any Contract Year.  </w:t>
      </w:r>
      <w:ins w:id="153" w:author="Michael J. Curry" w:date="2000-07-31T18:49:00Z">
        <w:r>
          <w:rPr/>
          <w:t>Transferred Renewable Energy must replace</w:t>
        </w:r>
      </w:ins>
      <w:ins w:id="154" w:author="Michael J. Curry" w:date="2000-07-31T18:56:00Z">
        <w:r>
          <w:rPr/>
          <w:t xml:space="preserve"> the</w:t>
        </w:r>
      </w:ins>
      <w:ins w:id="155" w:author="Michael J. Curry" w:date="2000-07-31T18:49:00Z">
        <w:r>
          <w:rPr/>
          <w:t xml:space="preserve"> Renewable Energy from the Facility in all material respects</w:t>
        </w:r>
      </w:ins>
      <w:ins w:id="156" w:author="Michael J. Curry" w:date="2000-07-31T19:43:00Z">
        <w:r>
          <w:rPr/>
          <w:t xml:space="preserve"> at EPMI’s sole and absolute discretion</w:t>
        </w:r>
      </w:ins>
      <w:ins w:id="157" w:author="Michael J. Curry" w:date="2000-07-31T18:49:00Z">
        <w:r>
          <w:rPr/>
          <w:t xml:space="preserve"> including, but not limited to, </w:t>
        </w:r>
      </w:ins>
      <w:ins w:id="158" w:author="Michael J. Curry" w:date="2000-07-31T18:51:00Z">
        <w:r>
          <w:rPr/>
          <w:t xml:space="preserve">term remaining </w:t>
        </w:r>
      </w:ins>
      <w:ins w:id="159" w:author="Michael J. Curry" w:date="2000-07-31T18:56:00Z">
        <w:r>
          <w:rPr/>
          <w:t>before</w:t>
        </w:r>
      </w:ins>
      <w:ins w:id="160" w:author="Michael J. Curry" w:date="2000-07-31T18:51:00Z">
        <w:r>
          <w:rPr/>
          <w:t xml:space="preserve"> REC expiration, quality of renewable resource in its ability to replace </w:t>
        </w:r>
      </w:ins>
      <w:ins w:id="161" w:author="Michael J. Curry" w:date="2000-07-31T18:57:00Z">
        <w:r>
          <w:rPr/>
          <w:t xml:space="preserve">NOx and SOx producing energy generation, schedule of energy delivered, and </w:t>
        </w:r>
      </w:ins>
      <w:ins w:id="162" w:author="dportz" w:date="2000-08-01T08:17:00Z">
        <w:r>
          <w:rPr/>
          <w:t>a delivery point on the ERCOT transmission system equally or bett</w:t>
        </w:r>
      </w:ins>
      <w:ins w:id="163" w:author="dportz" w:date="2000-08-01T08:17:00Z">
        <w:del w:id="164" w:author="EI" w:date="2000-08-01T14:58:00Z">
          <w:r>
            <w:rPr/>
            <w:delText>t</w:delText>
          </w:r>
        </w:del>
      </w:ins>
      <w:ins w:id="165" w:author="dportz" w:date="2000-08-01T08:17:00Z">
        <w:r>
          <w:rPr/>
          <w:t>er suited than the above referenced Delivery Point of the Facility for the receipt of Renewable Energy by Purchaser and the transmission throughout the ERCOT transmission system  as determined in EPMI’s sole discretion</w:t>
        </w:r>
      </w:ins>
      <w:ins w:id="166" w:author="Michael J. Curry" w:date="2000-07-31T18:59:00Z">
        <w:r>
          <w:rPr/>
          <w:t xml:space="preserve">.  </w:t>
        </w:r>
      </w:ins>
      <w:r>
        <w:rPr/>
        <w:t xml:space="preserve">In order to receive the offset credit from any Transferred </w:t>
      </w:r>
      <w:del w:id="167" w:author="EI" w:date="2000-08-01T14:59:00Z">
        <w:r>
          <w:rPr/>
          <w:delText>[</w:delText>
        </w:r>
      </w:del>
      <w:r>
        <w:rPr/>
        <w:t>Renewable Energy</w:t>
      </w:r>
      <w:del w:id="168" w:author="EI" w:date="2000-08-01T14:59:00Z">
        <w:r>
          <w:rPr/>
          <w:delText>]</w:delText>
        </w:r>
      </w:del>
      <w:r>
        <w:rPr/>
        <w:t xml:space="preserve"> against any applicable Annual Deficiency, Seller must transfer, or cause to be transferred, to Purchaser the Transferred </w:t>
      </w:r>
      <w:del w:id="169" w:author="EI" w:date="2000-08-01T14:59:00Z">
        <w:r>
          <w:rPr/>
          <w:delText>[</w:delText>
        </w:r>
      </w:del>
      <w:r>
        <w:rPr/>
        <w:t>Renewable Energy</w:t>
      </w:r>
      <w:del w:id="170" w:author="EI" w:date="2000-08-01T14:59:00Z">
        <w:r>
          <w:rPr/>
          <w:delText>]</w:delText>
        </w:r>
      </w:del>
      <w:r>
        <w:rPr/>
        <w:t xml:space="preserve"> within fifteen (15) days after the date on which Seller receives written notice from Purchaser of an Annual Deficiency.</w:t>
      </w:r>
      <w:bookmarkEnd w:id="26"/>
      <w:r>
        <w:rPr/>
        <w:t xml:space="preserve"> </w:t>
      </w:r>
      <w:bookmarkStart w:id="28" w:name="_Ref486239330"/>
      <w:r>
        <w:rPr/>
        <w:t xml:space="preserve"> [The maximum amount of Transferred </w:t>
      </w:r>
      <w:del w:id="171" w:author="EI" w:date="2000-08-01T15:00:00Z">
        <w:r>
          <w:rPr/>
          <w:delText>[</w:delText>
        </w:r>
      </w:del>
      <w:r>
        <w:rPr/>
        <w:t>Renewable Energy</w:t>
      </w:r>
      <w:del w:id="172" w:author="EI" w:date="2000-08-01T15:00:00Z">
        <w:r>
          <w:rPr/>
          <w:delText>]</w:delText>
        </w:r>
      </w:del>
      <w:r>
        <w:rPr/>
        <w:t xml:space="preserve"> that can be offset against the Annual Deficiency in any Contract Year may not exceed </w:t>
      </w:r>
      <w:del w:id="173" w:author="Michael J. Curry" w:date="2000-07-31T19:00:00Z">
        <w:r>
          <w:rPr/>
          <w:delText xml:space="preserve">the sum of (1) </w:delText>
        </w:r>
      </w:del>
      <w:r>
        <w:rPr/>
        <w:t>20% of the Annual Quantity for such Contract Year.]</w:t>
      </w:r>
    </w:p>
    <w:p>
      <w:pPr>
        <w:pStyle w:val="ArticleL3"/>
        <w:numPr>
          <w:ilvl w:val="2"/>
          <w:numId w:val="3"/>
        </w:numPr>
        <w:ind w:hanging="0" w:start="0"/>
        <w:rPr/>
      </w:pPr>
      <w:bookmarkEnd w:id="28"/>
      <w:r>
        <w:rPr/>
        <w:t>Seller shall be obligated to pay Purchaser an amount (the "</w:t>
      </w:r>
      <w:r>
        <w:rPr>
          <w:u w:val="single"/>
        </w:rPr>
        <w:t>Deficiency Payment</w:t>
      </w:r>
      <w:r>
        <w:rPr/>
        <w:t xml:space="preserve">") equal to the product of (i) the Net Deficiency (after making the offset for the maximum number of megawatt hours of Transferred [Renewable Energy] permitted pursuant to the terms of Section 4.04(e) above), times (ii) the Deficiency Rate (as defined in Section 4.04(h) below).  The Parties acknowledge and agree that (i) it would be impracticable or extremely difficult to fix the actual damages resulting from a Net Deficiency and (ii) the applicable Deficiency Payment payable pursuant to this Section 4.04(f) in any Contract Year is in the nature of liquidated damages, and not a penalty. </w:t>
      </w:r>
    </w:p>
    <w:p>
      <w:pPr>
        <w:pStyle w:val="ArticleL3"/>
        <w:numPr>
          <w:ilvl w:val="2"/>
          <w:numId w:val="3"/>
        </w:numPr>
        <w:ind w:hanging="0" w:start="0"/>
        <w:rPr/>
      </w:pPr>
      <w:r>
        <w:rPr/>
        <w:t>Seller shall pay any Deficiency Payment in three equal monthly installments, beginning on the later of (i) February 1 of the Contract Year immediately following the end of the Contract Year for which the Net Deficiency occurred, and (ii) the date that is thirty (30) days after the date on which Seller shall have written notice from Purchase</w:t>
      </w:r>
      <w:ins w:id="174" w:author="Michael J. Curry" w:date="2000-07-31T19:26:00Z">
        <w:r>
          <w:rPr/>
          <w:t>r</w:t>
        </w:r>
      </w:ins>
      <w:r>
        <w:rPr/>
        <w:t xml:space="preserve"> of the determination of the occurrence and amount of the Net Deficiency for the previous Contract Year.  Purchaser may offset the installment amount of any Deficiency Payment against any amounts otherwise owed by Purchaser to Seller.</w:t>
      </w:r>
    </w:p>
    <w:p>
      <w:pPr>
        <w:pStyle w:val="ArticleL3"/>
        <w:numPr>
          <w:ilvl w:val="2"/>
          <w:numId w:val="3"/>
        </w:numPr>
        <w:ind w:hanging="0" w:start="0"/>
        <w:rPr/>
      </w:pPr>
      <w:r>
        <w:rPr/>
        <w:t>The "</w:t>
      </w:r>
      <w:r>
        <w:rPr>
          <w:u w:val="single"/>
        </w:rPr>
        <w:t>Deficiency Rate</w:t>
      </w:r>
      <w:r>
        <w:rPr/>
        <w:t xml:space="preserve">" shall mean the lesser of (i) $50 per MWh or subsequent administrative penalty specified for deficient </w:t>
      </w:r>
      <w:del w:id="175" w:author="Michael J. Curry" w:date="2000-07-31T19:01:00Z">
        <w:r>
          <w:rPr/>
          <w:delText xml:space="preserve">credits </w:delText>
        </w:r>
      </w:del>
      <w:ins w:id="176" w:author="Michael J. Curry" w:date="2000-07-31T19:01:00Z">
        <w:r>
          <w:rPr/>
          <w:t xml:space="preserve">RECs plus energy </w:t>
        </w:r>
      </w:ins>
      <w:r>
        <w:rPr/>
        <w:t xml:space="preserve">per Substantive Rule 25.173(o) as modified from time to time by the PUCT and (ii) the fair market value (on a per MWh basis) of Renewable Energy as determined by </w:t>
      </w:r>
      <w:r>
        <w:rPr>
          <w:spacing w:val="-2"/>
        </w:rPr>
        <w:t xml:space="preserve">the sum of (x) the price of the Net Energy reflected in a Market Index for the equivalent amount of energy and (y) the price of the RECs reflected in an applicable Market Index, and if there is no applicable Market Index for Net Energy and/or RECs, such alternative valuation as mutually agreed to by the Parties. </w:t>
      </w:r>
      <w:r>
        <w:rPr>
          <w:b/>
        </w:rPr>
        <w:t xml:space="preserve"> </w:t>
      </w:r>
      <w:r>
        <w:rPr/>
        <w:t>"</w:t>
      </w:r>
      <w:r>
        <w:rPr>
          <w:u w:val="single"/>
        </w:rPr>
        <w:t>Market Index</w:t>
      </w:r>
      <w:r>
        <w:rPr/>
        <w:t>" means a published index or indices showing or referencing a market price for energy equivalent to Net Energy traded in ERCOT and/or RECs traded in ERCOT, if available.</w:t>
      </w:r>
    </w:p>
    <w:p>
      <w:pPr>
        <w:pStyle w:val="ArticleL2"/>
        <w:numPr>
          <w:ilvl w:val="1"/>
          <w:numId w:val="3"/>
        </w:numPr>
        <w:ind w:hanging="0" w:start="0"/>
        <w:rPr/>
      </w:pPr>
      <w:bookmarkStart w:id="29" w:name="__RefHeading___Toc489421208"/>
      <w:bookmarkEnd w:id="29"/>
      <w:r>
        <w:rPr/>
        <w:t>Effect of Uncontrollable Force</w:t>
      </w:r>
    </w:p>
    <w:p>
      <w:pPr>
        <w:pStyle w:val="ContractL2"/>
        <w:widowControl/>
        <w:spacing w:before="240" w:after="0"/>
        <w:rPr/>
      </w:pPr>
      <w:r>
        <w:rPr/>
        <w:t>In each Contract Year, the "</w:t>
      </w:r>
      <w:r>
        <w:rPr>
          <w:u w:val="single"/>
        </w:rPr>
        <w:t>Uncontrollable Force Deficiency</w:t>
      </w:r>
      <w:r>
        <w:rPr/>
        <w:t xml:space="preserve">" shall mean the amount of </w:t>
      </w:r>
      <w:del w:id="177" w:author="EI" w:date="2000-08-01T12:38:00Z">
        <w:r>
          <w:rPr/>
          <w:delText xml:space="preserve">MWh </w:delText>
        </w:r>
      </w:del>
      <w:ins w:id="178" w:author="EI" w:date="2000-08-01T12:38:00Z">
        <w:r>
          <w:rPr/>
          <w:t>MWh below 500,000 MWh</w:t>
        </w:r>
      </w:ins>
      <w:ins w:id="179" w:author="EI" w:date="2000-08-01T12:45:00Z">
        <w:r>
          <w:rPr/>
          <w:t xml:space="preserve"> </w:t>
        </w:r>
      </w:ins>
      <w:r>
        <w:rPr/>
        <w:t xml:space="preserve">of </w:t>
      </w:r>
      <w:del w:id="180" w:author="dportz" w:date="2000-08-01T08:24:00Z">
        <w:r>
          <w:rPr/>
          <w:delText>[</w:delText>
        </w:r>
      </w:del>
      <w:r>
        <w:rPr/>
        <w:t>Renewable Energy</w:t>
      </w:r>
      <w:del w:id="181" w:author="dportz" w:date="2000-08-01T08:24:00Z">
        <w:r>
          <w:rPr/>
          <w:delText>]</w:delText>
        </w:r>
      </w:del>
      <w:r>
        <w:rPr/>
        <w:t xml:space="preserve"> (rounded to the nearest megawatt hour) not produced by the Facility </w:t>
      </w:r>
      <w:ins w:id="182" w:author="dportz" w:date="2000-08-01T08:24:00Z">
        <w:del w:id="183" w:author="EI" w:date="2000-08-01T12:38:00Z">
          <w:r>
            <w:rPr/>
            <w:delText xml:space="preserve">and delivered to Purchaser </w:delText>
          </w:r>
        </w:del>
      </w:ins>
      <w:ins w:id="184" w:author="dportz" w:date="2000-08-01T08:24:00Z">
        <w:del w:id="185" w:author="EI" w:date="2000-08-01T12:38:00Z">
          <w:r>
            <w:rPr/>
            <w:delText>below 500,00</w:delText>
          </w:r>
        </w:del>
      </w:ins>
      <w:ins w:id="186" w:author="dportz" w:date="2000-08-01T08:24:00Z">
        <w:del w:id="187" w:author="EI" w:date="2000-08-01T12:38:00Z">
          <w:r>
            <w:rPr/>
            <w:delText xml:space="preserve">0 </w:delText>
          </w:r>
        </w:del>
      </w:ins>
      <w:ins w:id="188" w:author="dportz" w:date="2000-08-01T08:24:00Z">
        <w:del w:id="189" w:author="EI" w:date="2000-08-01T12:38:00Z">
          <w:r>
            <w:rPr/>
            <w:delText>M</w:delText>
          </w:r>
        </w:del>
      </w:ins>
      <w:ins w:id="190" w:author="dportz" w:date="2000-08-01T08:24:00Z">
        <w:del w:id="191" w:author="EI" w:date="2000-08-01T12:38:00Z">
          <w:r>
            <w:rPr/>
            <w:delText>W</w:delText>
          </w:r>
        </w:del>
      </w:ins>
      <w:ins w:id="192" w:author="dportz" w:date="2000-08-01T08:24:00Z">
        <w:del w:id="193" w:author="EI" w:date="2000-08-01T12:38:00Z">
          <w:r>
            <w:rPr/>
            <w:delText>h</w:delText>
          </w:r>
        </w:del>
      </w:ins>
      <w:ins w:id="194" w:author="dportz" w:date="2000-08-01T08:24:00Z">
        <w:r>
          <w:rPr/>
          <w:t xml:space="preserve"> </w:t>
        </w:r>
      </w:ins>
      <w:r>
        <w:rPr/>
        <w:t>in such Contract Year to the extent that an event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w:t>
      </w:r>
      <w:ins w:id="195" w:author="dportz" w:date="2000-08-01T08:25:00Z">
        <w:r>
          <w:rPr/>
          <w:t xml:space="preserve"> solely</w:t>
        </w:r>
      </w:ins>
      <w:r>
        <w:rPr/>
        <w:t xml:space="preserve"> for purposes of determining Seller's liability for Deficiency Payments pursuant to Section 4.04(f). </w:t>
      </w:r>
    </w:p>
    <w:p>
      <w:pPr>
        <w:pStyle w:val="ArticleL2"/>
        <w:numPr>
          <w:ilvl w:val="1"/>
          <w:numId w:val="3"/>
        </w:numPr>
        <w:ind w:hanging="0" w:start="0"/>
        <w:rPr/>
      </w:pPr>
      <w:bookmarkStart w:id="30" w:name="__RefHeading___Toc489421209"/>
      <w:bookmarkStart w:id="31" w:name="_Ref485456328"/>
      <w:bookmarkEnd w:id="30"/>
      <w:r>
        <w:rPr/>
        <w:t>Governmental Impositions</w:t>
      </w:r>
      <w:bookmarkEnd w:id="31"/>
    </w:p>
    <w:p>
      <w:pPr>
        <w:pStyle w:val="FlushLeft"/>
        <w:rPr/>
      </w:pPr>
      <w:r>
        <w:rPr/>
        <w:t xml:space="preserve">Should Purchaser be required to pay any taxes, assessments, or other governmental impositions that are not in existence as of the Signing Date because of its purchase of RECs and Net Energy under this Agreement (other than taxes imposed on the net income </w:t>
      </w:r>
      <w:r>
        <w:rPr/>
        <w:t xml:space="preserve">or profit </w:t>
      </w:r>
      <w:r>
        <w:rPr/>
        <w:t>of Purchaser, Purchaser's franchise taxes, or administrative fees charged by the appointed Renewable Energy Credit Program program administrator) (collectively, the "</w:t>
      </w:r>
      <w:r>
        <w:rPr>
          <w:u w:val="single"/>
        </w:rPr>
        <w:t>New Taxes</w:t>
      </w:r>
      <w:r>
        <w:rPr/>
        <w:t>"), then it shall give Seller written notice of that requirement.  Seller shall then either pay the New Taxes or provide a written notice to Purchase</w:t>
      </w:r>
      <w:ins w:id="196" w:author="dportz" w:date="2000-08-01T08:26:00Z">
        <w:r>
          <w:rPr/>
          <w:t>r</w:t>
        </w:r>
      </w:ins>
      <w:r>
        <w:rPr/>
        <w:t xml:space="preserve"> of Seller's refusal to pay the New Taxes.  Seller's notice, in order to be effective, must be given to Purchaser within thirty (30) days after Seller's receipt of Purchaser's notice of the imposition of New Taxes.  Purchaser may terminate this Agreement by a written notice sent to Seller within thirty (30) days after Purchaser receives written notice from Seller refusing to pay any New Taxes. If Purchaser does not send a termination notice within such thirty (30) day period, then Seller shall have no obligation to pay the New Taxes made the subject of the notice.  Neither Party is liable to the other Party for any damages caused by a termination of this Agreement under this </w:t>
      </w:r>
      <w:r>
        <w:rPr/>
        <w:fldChar w:fldCharType="begin"/>
      </w:r>
      <w:r>
        <w:rPr/>
        <w:instrText xml:space="preserve"> REF _Ref485456328 \w \w \h </w:instrText>
      </w:r>
      <w:r>
        <w:rPr/>
        <w:fldChar w:fldCharType="separate"/>
      </w:r>
      <w:r>
        <w:rPr/>
        <w:t>Section 4.06</w:t>
      </w:r>
      <w:r>
        <w:rPr/>
        <w:fldChar w:fldCharType="end"/>
      </w:r>
      <w:r>
        <w:rPr/>
        <w:t xml:space="preserve">6, but each Party shall remain liable for all obligations and amounts under this Agreement to the other Party that accrued prior to the effective date of such termination.  Upon written request, Purchaser shall reasonably cooperate with Seller in opposing the imposition of any New Taxes.  If Purchaser refuses to so cooperate, the sole remedy available to Seller for such refusal is that Purchaser is deemed to have waived its rights under this </w:t>
      </w:r>
      <w:r>
        <w:rPr/>
        <w:fldChar w:fldCharType="begin"/>
      </w:r>
      <w:r>
        <w:rPr/>
        <w:instrText xml:space="preserve"> REF _Ref485456328 \w \w \h </w:instrText>
      </w:r>
      <w:r>
        <w:rPr/>
        <w:fldChar w:fldCharType="separate"/>
      </w:r>
      <w:r>
        <w:rPr/>
        <w:t>Section 4.06</w:t>
      </w:r>
      <w:r>
        <w:rPr/>
        <w:fldChar w:fldCharType="end"/>
      </w:r>
      <w:r>
        <w:rPr/>
        <w:t>6 to request that Seller pay the New Taxes that Purchaser refused to cooperate in opposing.</w:t>
      </w:r>
    </w:p>
    <w:p>
      <w:pPr>
        <w:pStyle w:val="ArticleL2"/>
        <w:numPr>
          <w:ilvl w:val="1"/>
          <w:numId w:val="7"/>
        </w:numPr>
        <w:rPr/>
      </w:pPr>
      <w:bookmarkStart w:id="32" w:name="__RefHeading___Toc489421210"/>
      <w:bookmarkEnd w:id="32"/>
      <w:r>
        <w:rPr/>
        <w:t>Records</w:t>
      </w:r>
    </w:p>
    <w:p>
      <w:pPr>
        <w:pStyle w:val="ArticleL3"/>
        <w:numPr>
          <w:ilvl w:val="2"/>
          <w:numId w:val="3"/>
        </w:numPr>
        <w:ind w:hanging="0" w:start="0"/>
        <w:rPr/>
      </w:pPr>
      <w:r>
        <w:rPr/>
        <w:t>Purchaser shall create and keep (i) meter records and other records needed to show the amounts due from Purchaser to Seller under this Agreement, and (ii) records of amounts due by Seller to Purchaser under this Agreement.</w:t>
      </w:r>
    </w:p>
    <w:p>
      <w:pPr>
        <w:pStyle w:val="ArticleL3"/>
        <w:numPr>
          <w:ilvl w:val="2"/>
          <w:numId w:val="3"/>
        </w:numPr>
        <w:ind w:hanging="0" w:start="0"/>
        <w:rPr/>
      </w:pPr>
      <w:r>
        <w:rPr/>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numPr>
          <w:ilvl w:val="2"/>
          <w:numId w:val="3"/>
        </w:numPr>
        <w:ind w:hanging="0" w:start="0"/>
        <w:rPr/>
      </w:pPr>
      <w:r>
        <w:rPr/>
        <w:t>Each party shall maintain the records that it is required to create and keep under this Section 4.07 according to generally accepted accounting principles, consistently applied.  Each Party shall keep and maintain those records for four years after the respective records are created, and the other Party may inspect and audit those records during normal business hours upon reasonable advance written notice.</w:t>
      </w:r>
    </w:p>
    <w:p>
      <w:pPr>
        <w:pStyle w:val="ArticleL2"/>
        <w:numPr>
          <w:ilvl w:val="1"/>
          <w:numId w:val="3"/>
        </w:numPr>
        <w:ind w:hanging="0" w:start="0"/>
        <w:rPr/>
      </w:pPr>
      <w:bookmarkStart w:id="33" w:name="__RefHeading___Toc489421211"/>
      <w:bookmarkEnd w:id="33"/>
      <w:r>
        <w:rPr/>
        <w:t>Billing</w:t>
      </w:r>
    </w:p>
    <w:p>
      <w:pPr>
        <w:pStyle w:val="ArticleL3"/>
        <w:numPr>
          <w:ilvl w:val="2"/>
          <w:numId w:val="3"/>
        </w:numPr>
        <w:ind w:hanging="0" w:start="0"/>
        <w:rPr/>
      </w:pPr>
      <w:r>
        <w:rPr/>
        <w:t>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A "</w:t>
      </w:r>
      <w:r>
        <w:rPr>
          <w:u w:val="single"/>
        </w:rPr>
        <w:t>Business Day</w:t>
      </w:r>
      <w:r>
        <w:rPr/>
        <w:t>" is any day that is not a Saturday, Sunday, or a holiday observed by Purchaser's Houston</w:t>
      </w:r>
      <w:r>
        <w:rPr>
          <w:b/>
        </w:rPr>
        <w:t xml:space="preserve"> </w:t>
      </w:r>
      <w:r>
        <w:rPr/>
        <w:t>office.</w:t>
      </w:r>
    </w:p>
    <w:p>
      <w:pPr>
        <w:pStyle w:val="ArticleL3"/>
        <w:numPr>
          <w:ilvl w:val="2"/>
          <w:numId w:val="3"/>
        </w:numPr>
        <w:ind w:hanging="0" w:start="0"/>
        <w:rPr/>
      </w:pPr>
      <w:r>
        <w:rPr/>
        <w:t>Purchaser shall make all payments due and owing to Seller under this Agreement by wire transfer to the following account:  [</w:t>
      </w:r>
      <w:r>
        <w:rPr>
          <w:i/>
        </w:rPr>
        <w:t>specify account details</w:t>
      </w:r>
      <w:r>
        <w:rPr/>
        <w:t>].</w:t>
      </w:r>
    </w:p>
    <w:p>
      <w:pPr>
        <w:pStyle w:val="ArticleL3"/>
        <w:numPr>
          <w:ilvl w:val="2"/>
          <w:numId w:val="3"/>
        </w:numPr>
        <w:ind w:hanging="0" w:start="0"/>
        <w:rPr/>
      </w:pPr>
      <w:r>
        <w:rPr/>
        <w:t>Purchaser may offset any undisputed and liquidated payments due by Seller to Purchaser against payments due by Purchaser to Seller.  Payment of any net amount shown to be due by Purchaser to Seller must be included with the statement.  If the statement shows a net amount due from Seller to Purchaser, the payment is past due if not made within twenty (20) days after the date the statement is sent.</w:t>
      </w:r>
    </w:p>
    <w:p>
      <w:pPr>
        <w:pStyle w:val="ArticleL2"/>
        <w:numPr>
          <w:ilvl w:val="1"/>
          <w:numId w:val="3"/>
        </w:numPr>
        <w:ind w:hanging="0" w:start="0"/>
        <w:rPr/>
      </w:pPr>
      <w:bookmarkStart w:id="34" w:name="__RefHeading___Toc489421212"/>
      <w:bookmarkEnd w:id="34"/>
      <w:r>
        <w:rPr/>
        <w:t>Interest on Past Due Amounts</w:t>
      </w:r>
    </w:p>
    <w:p>
      <w:pPr>
        <w:pStyle w:val="FlushLeft"/>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(i) the rate published weekly in the Federal Reserve Statistical Release for "one month commercial paper" plus 2% or (ii)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numPr>
          <w:ilvl w:val="1"/>
          <w:numId w:val="3"/>
        </w:numPr>
        <w:ind w:hanging="0" w:start="0"/>
        <w:rPr/>
      </w:pPr>
      <w:bookmarkStart w:id="35" w:name="__RefHeading___Toc489421213"/>
      <w:bookmarkEnd w:id="35"/>
      <w:r>
        <w:rPr/>
        <w:t>Corrections</w:t>
      </w:r>
    </w:p>
    <w:p>
      <w:pPr>
        <w:pStyle w:val="FlushLeft"/>
        <w:rPr/>
      </w:pPr>
      <w:r>
        <w:rPr/>
        <w:t>If there are errors in billings or payments under this Agreement due to metering or billing errors or to errors or changes in the amount of RECs awarded by the REC Program Administrator, then the billings or payments must be corrected; provided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bill or corrected payment, as the case may be.</w:t>
      </w:r>
    </w:p>
    <w:p>
      <w:pPr>
        <w:pStyle w:val="ArticleL1"/>
        <w:numPr>
          <w:ilvl w:val="0"/>
          <w:numId w:val="8"/>
        </w:numPr>
        <w:rPr/>
      </w:pPr>
      <w:r>
        <w:rPr>
          <w:rFonts w:eastAsia="Times New Roman Bold"/>
        </w:rPr>
        <w:t xml:space="preserve">   </w:t>
      </w:r>
      <w:bookmarkStart w:id="36" w:name="__RefHeading___Toc489421214"/>
      <w:r>
        <w:rPr/>
        <w:t>Termination and Uncontrollable Force</w:t>
      </w:r>
      <w:bookmarkEnd w:id="36"/>
    </w:p>
    <w:p>
      <w:pPr>
        <w:pStyle w:val="ArticleL2"/>
        <w:numPr>
          <w:ilvl w:val="1"/>
          <w:numId w:val="3"/>
        </w:numPr>
        <w:ind w:hanging="0" w:start="0"/>
        <w:rPr/>
      </w:pPr>
      <w:bookmarkStart w:id="37" w:name="__RefHeading___Toc489421215"/>
      <w:bookmarkEnd w:id="37"/>
      <w:r>
        <w:rPr/>
        <w:t>Insolvency</w:t>
      </w:r>
    </w:p>
    <w:p>
      <w:pPr>
        <w:pStyle w:val="FlushLeft"/>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w:t>
      </w:r>
    </w:p>
    <w:p>
      <w:pPr>
        <w:pStyle w:val="ArticleL2"/>
        <w:numPr>
          <w:ilvl w:val="1"/>
          <w:numId w:val="3"/>
        </w:numPr>
        <w:ind w:hanging="0" w:start="0"/>
        <w:rPr/>
      </w:pPr>
      <w:bookmarkStart w:id="38" w:name="__RefHeading___Toc489421216"/>
      <w:bookmarkEnd w:id="38"/>
      <w:r>
        <w:rPr/>
        <w:t>Uncontrollable Force</w:t>
      </w:r>
    </w:p>
    <w:p>
      <w:pPr>
        <w:pStyle w:val="ArticleL3"/>
        <w:numPr>
          <w:ilvl w:val="2"/>
          <w:numId w:val="3"/>
        </w:numPr>
        <w:ind w:hanging="0" w:start="0"/>
        <w:rPr/>
      </w:pPr>
      <w:r>
        <w:rPr/>
        <w:t>An "</w:t>
      </w:r>
      <w:r>
        <w:rPr>
          <w:u w:val="single"/>
        </w:rPr>
        <w:t>Uncontrollable Force</w:t>
      </w:r>
      <w:r>
        <w:rPr/>
        <w:t>" is an event or circumstance that adversely affects a Party's ability to perform its obligations under this Agreement, which event or circumstance is not within the reasonable control of the Party affected by such event or circumstance (the "Claiming Party"),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the connecting facilities' grid, lack of transmission capacity or availability,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curtailment of non-firm transmission obtained at Purchaser's election for receipt of energy at the Delivery Point although firm transmission was available to Purchaser at the time of scheduling for receipt of such energy at the Delivery Point, nor (ii) lack of wind velocity, nor (iii) termination or material change to Section 39.904 of the Texas Utilities Code or the Renewable Energy Rules or REC Trading Program set forth in PUCT Substantive Rule §25.173 (governed by Section 9.02) shall constitute an Uncontrollable Force.</w:t>
      </w:r>
    </w:p>
    <w:p>
      <w:pPr>
        <w:pStyle w:val="ArticleL3"/>
        <w:numPr>
          <w:ilvl w:val="2"/>
          <w:numId w:val="3"/>
        </w:numPr>
        <w:ind w:hanging="0" w:start="0"/>
        <w:rPr/>
      </w:pPr>
      <w:r>
        <w:rPr/>
        <w:t>Should either Party be wholly or partly unable to perform any of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provided that:</w:t>
      </w:r>
    </w:p>
    <w:p>
      <w:pPr>
        <w:pStyle w:val="ArticleL4"/>
        <w:numPr>
          <w:ilvl w:val="3"/>
          <w:numId w:val="3"/>
        </w:numPr>
        <w:ind w:hanging="0" w:start="0"/>
        <w:rPr/>
      </w:pPr>
      <w:r>
        <w:rPr/>
        <w:t>the nonperforming Party gives the other Party, within fourteen (14) days after the Uncontrollable Force begins, written notice describing the particulars of the Uncontrollable Force, such written notice to include the non performing Party's position on whether the Uncontrollable Force constitutes an event under Section 25.173(o)(4) and (5) of the PUCT Substantive Rules that adversely affected the production of [Renewable Energy] by the Facility;</w:t>
      </w:r>
    </w:p>
    <w:p>
      <w:pPr>
        <w:pStyle w:val="ArticleL4"/>
        <w:numPr>
          <w:ilvl w:val="3"/>
          <w:numId w:val="3"/>
        </w:numPr>
        <w:ind w:hanging="0" w:start="0"/>
        <w:rPr/>
      </w:pPr>
      <w:r>
        <w:rPr/>
        <w:t>the nonperforming Party gives the other Party, within thirty (30) days after the Uncontrollable Force begins, a written explanation of the Uncontrollable Force and its effect on the nonperforming Party's performance;</w:t>
      </w:r>
    </w:p>
    <w:p>
      <w:pPr>
        <w:pStyle w:val="ArticleL4"/>
        <w:numPr>
          <w:ilvl w:val="3"/>
          <w:numId w:val="3"/>
        </w:numPr>
        <w:ind w:hanging="0" w:start="0"/>
        <w:rPr/>
      </w:pPr>
      <w:r>
        <w:rPr/>
        <w:t>the suspension of performance is of no greater scope and of no longer duration than the Uncontrollable Force requires; and</w:t>
      </w:r>
    </w:p>
    <w:p>
      <w:pPr>
        <w:pStyle w:val="ArticleL4"/>
        <w:numPr>
          <w:ilvl w:val="3"/>
          <w:numId w:val="3"/>
        </w:numPr>
        <w:ind w:hanging="0" w:start="0"/>
        <w:rPr/>
      </w:pPr>
      <w:r>
        <w:rPr/>
        <w:t>the nonperforming Party uses its reasonable efforts to remedy its inability to perform.</w:t>
      </w:r>
    </w:p>
    <w:p>
      <w:pPr>
        <w:pStyle w:val="ArticleL3"/>
        <w:numPr>
          <w:ilvl w:val="2"/>
          <w:numId w:val="3"/>
        </w:numPr>
        <w:ind w:hanging="0" w:start="0"/>
        <w:rPr/>
      </w:pPr>
      <w:r>
        <w:rPr/>
        <w:t>When the nonperforming Party can resume performance of its obligations under this Agreement, that Party shall give the other Party written notice to that effect.</w:t>
      </w:r>
    </w:p>
    <w:p>
      <w:pPr>
        <w:pStyle w:val="ArticleL3"/>
        <w:numPr>
          <w:ilvl w:val="2"/>
          <w:numId w:val="3"/>
        </w:numPr>
        <w:ind w:hanging="0" w:start="0"/>
        <w:rPr/>
      </w:pPr>
      <w:r>
        <w:rPr/>
        <w:t>No Uncontrollable Force condition extends this Agreement's Production Term.</w:t>
      </w:r>
    </w:p>
    <w:p>
      <w:pPr>
        <w:pStyle w:val="ArticleL3"/>
        <w:numPr>
          <w:ilvl w:val="2"/>
          <w:numId w:val="3"/>
        </w:numPr>
        <w:ind w:hanging="0" w:start="0"/>
        <w:rPr/>
      </w:pPr>
      <w:r>
        <w:rPr/>
        <w:t>Any excuse of non-performance due to an Uncontrollable Force condition cannot last longer than one hundred eighty (180) days except upon the performing Party's written consent, which the performing Party may give or withhold in its sole discretion.  If the Uncontrollable Force condition is not removed within one hundred eighty (180) days, then the Uncontrollable Force shall cease to excuse non-performance and the performing Party shall have the right to terminate this Agreement.</w:t>
      </w:r>
    </w:p>
    <w:p>
      <w:pPr>
        <w:pStyle w:val="ArticleL3"/>
        <w:numPr>
          <w:ilvl w:val="2"/>
          <w:numId w:val="3"/>
        </w:numPr>
        <w:ind w:hanging="0" w:start="0"/>
        <w:rPr/>
      </w:pPr>
      <w:r>
        <w:rPr/>
        <w:t>Purchaser may exercise the rights granted in Section 3.04(b) if Seller violates Section 3.04(a), even though an Uncontrollable Force caused the violation.</w:t>
      </w:r>
    </w:p>
    <w:p>
      <w:pPr>
        <w:pStyle w:val="ArticleL2"/>
        <w:numPr>
          <w:ilvl w:val="1"/>
          <w:numId w:val="3"/>
        </w:numPr>
        <w:ind w:hanging="0" w:start="0"/>
        <w:rPr/>
      </w:pPr>
      <w:bookmarkStart w:id="39" w:name="__RefHeading___Toc489421217"/>
      <w:bookmarkEnd w:id="39"/>
      <w:r>
        <w:rPr/>
        <w:t>Default and Termination</w:t>
      </w:r>
    </w:p>
    <w:p>
      <w:pPr>
        <w:pStyle w:val="ArticleL3"/>
        <w:numPr>
          <w:ilvl w:val="2"/>
          <w:numId w:val="3"/>
        </w:numPr>
        <w:ind w:hanging="0" w:start="0"/>
        <w:rPr/>
      </w:pPr>
      <w:r>
        <w:rPr/>
        <w:t>If:</w:t>
      </w:r>
    </w:p>
    <w:p>
      <w:pPr>
        <w:pStyle w:val="ArticleL4"/>
        <w:numPr>
          <w:ilvl w:val="3"/>
          <w:numId w:val="3"/>
        </w:numPr>
        <w:ind w:hanging="0" w:start="0"/>
        <w:rPr/>
      </w:pPr>
      <w:r>
        <w:rPr/>
        <w:t>either Party materially breaches any material warranty it makes in this Agreement, or</w:t>
      </w:r>
    </w:p>
    <w:p>
      <w:pPr>
        <w:pStyle w:val="ArticleL4"/>
        <w:numPr>
          <w:ilvl w:val="3"/>
          <w:numId w:val="3"/>
        </w:numPr>
        <w:ind w:hanging="0" w:start="0"/>
        <w:rPr/>
      </w:pPr>
      <w:r>
        <w:rPr/>
        <w:t>either Party materially fails to fulfill any material obligation it has under this Agreement, or</w:t>
      </w:r>
    </w:p>
    <w:p>
      <w:pPr>
        <w:pStyle w:val="ArticleL4"/>
        <w:numPr>
          <w:ilvl w:val="3"/>
          <w:numId w:val="3"/>
        </w:numPr>
        <w:ind w:hanging="0" w:start="0"/>
        <w:rPr/>
      </w:pPr>
      <w:r>
        <w:rPr/>
        <w:t>if any material representation either Party makes in this Agreement becomes, after the date of this Agreement, materially inaccurate, or is discovered to have not been materially accurate when made,</w:t>
      </w:r>
    </w:p>
    <w:p>
      <w:pPr>
        <w:pStyle w:val="Normal"/>
        <w:spacing w:before="240" w:after="0"/>
        <w:ind w:start="720" w:end="0"/>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sixty (60) days after the receipt of the notice, then the breach, misrepresentation, or default specified in the notice ceases to exist, and this Agreement shall not be terminated.</w:t>
      </w:r>
    </w:p>
    <w:p>
      <w:pPr>
        <w:pStyle w:val="ArticleL3"/>
        <w:numPr>
          <w:ilvl w:val="2"/>
          <w:numId w:val="3"/>
        </w:numPr>
        <w:ind w:hanging="0" w:start="0"/>
        <w:rPr/>
      </w:pPr>
      <w:r>
        <w:rPr/>
        <w:t>The rights to terminate this Agreement contained in this Section 5.03 are in addition to the rights to terminate this Agreement given in other Sections of this Agreement, and the rights of a Party to cure a default under Section 5.03(a) do not apply to the termination rights granted in Section 5.01.</w:t>
      </w:r>
    </w:p>
    <w:p>
      <w:pPr>
        <w:pStyle w:val="ArticleL3"/>
        <w:numPr>
          <w:ilvl w:val="2"/>
          <w:numId w:val="3"/>
        </w:numPr>
        <w:ind w:hanging="0" w:start="0"/>
        <w:rPr/>
      </w:pPr>
      <w:r>
        <w:rPr/>
        <w:t>A person that is providing debt or equity financing for Seller in connection with the Facility may cure any of Seller's defaults under this Agreement in accordance with the rights recognized in Section 9.17, and the effect of such cure shall be the same as if Seller had cured the default.</w:t>
      </w:r>
    </w:p>
    <w:p>
      <w:pPr>
        <w:pStyle w:val="ArticleL2"/>
        <w:numPr>
          <w:ilvl w:val="1"/>
          <w:numId w:val="3"/>
        </w:numPr>
        <w:ind w:hanging="0" w:start="0"/>
        <w:rPr/>
      </w:pPr>
      <w:bookmarkStart w:id="40" w:name="__RefHeading___Toc489421218"/>
      <w:bookmarkEnd w:id="40"/>
      <w:r>
        <w:rPr/>
        <w:t>[Remedies Upon a Termination.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b/>
          <w:spacing w:val="-2"/>
          <w:u w:val="single"/>
        </w:rPr>
      </w:pPr>
      <w:r>
        <w:rPr>
          <w:b/>
          <w:spacing w:val="-2"/>
          <w:u w:val="single"/>
        </w:rPr>
      </w:r>
    </w:p>
    <w:p>
      <w:pPr>
        <w:pStyle w:val="ArticleL3"/>
        <w:numPr>
          <w:ilvl w:val="2"/>
          <w:numId w:val="3"/>
        </w:numPr>
        <w:ind w:hanging="0" w:start="0"/>
        <w:rPr/>
      </w:pPr>
      <w:r>
        <w:rPr>
          <w:b/>
          <w:spacing w:val="-2"/>
          <w:u w:val="single"/>
        </w:rPr>
        <w:t>Early</w:t>
      </w:r>
      <w:r>
        <w:rPr>
          <w:spacing w:val="-2"/>
          <w:u w:val="single"/>
        </w:rPr>
        <w:t xml:space="preserve"> </w:t>
      </w:r>
      <w:r>
        <w:rPr>
          <w:b/>
          <w:u w:val="single"/>
        </w:rPr>
        <w:t>Termination Payment Calculation</w:t>
      </w:r>
      <w:r>
        <w:rPr>
          <w:b/>
        </w:rPr>
        <w:t xml:space="preserve">.  </w:t>
      </w:r>
      <w:r>
        <w:rPr/>
        <w:t>Subject to any pertinent Lender's rights exercised pursuant to Section 9.17 hereof, if a Termination occurs with respect to a Defaulting Party under Section 5.01 or 5.03 after expiration of all pertinent cure periods,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in good faith calculate its Gains, Losses, and Costs resulting from the termination of this Agreement.  The Gains, Losses, and Costs shall be determined by comparing the value of the remaining Production Term (without taking into account any extension of the Production Term for which notice to extend has not been duly delivered pursuant to Section 1.03) and amount of Renewable Energy which could have been provided under this Agreement had it not been terminated to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(as hereafter defined). The Non-Defaulting Party shall promptly aggregate such Gains, Losses, and Costs with respect to this Agreement into a single net amount ("</w:t>
      </w:r>
      <w:r>
        <w:rPr>
          <w:u w:val="single"/>
        </w:rPr>
        <w:t>Early Termination Payment</w:t>
      </w:r>
      <w:r>
        <w:rPr/>
        <w:t>") and notify the Defaulting Party. If the Non-Defaulting Party's aggregate Losses and Costs exceed its aggregate Gains, the Defaulting Party shall, within five (5) Business Days of receipt of such notice, pay the net amount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w:t>
      </w:r>
    </w:p>
    <w:p>
      <w:pPr>
        <w:pStyle w:val="ArticleL3"/>
        <w:numPr>
          <w:ilvl w:val="2"/>
          <w:numId w:val="3"/>
        </w:numPr>
        <w:ind w:hanging="0" w:start="0"/>
        <w:rPr>
          <w:spacing w:val="-3"/>
        </w:rPr>
      </w:pPr>
      <w:r>
        <w:rPr>
          <w:b/>
          <w:spacing w:val="-3"/>
          <w:u w:val="single"/>
        </w:rPr>
        <w:t>Definitions</w:t>
      </w:r>
      <w:r>
        <w:rPr>
          <w:b/>
          <w:spacing w:val="-3"/>
        </w:rPr>
        <w:t xml:space="preserve">.  </w:t>
      </w:r>
      <w:r>
        <w:rPr>
          <w:spacing w:val="-3"/>
        </w:rPr>
        <w:t xml:space="preserve">For </w:t>
      </w:r>
      <w:r>
        <w:rPr/>
        <w:t>purposes</w:t>
      </w:r>
      <w:r>
        <w:rPr>
          <w:spacing w:val="-3"/>
        </w:rPr>
        <w:t xml:space="preserve"> of this Agreement:</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144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pacing w:val="-3"/>
        </w:rPr>
        <w:t>"</w:t>
      </w:r>
      <w:r>
        <w:rPr>
          <w:spacing w:val="-3"/>
          <w:u w:val="single"/>
        </w:rPr>
        <w:t>Costs</w:t>
      </w:r>
      <w:r>
        <w:rPr>
          <w:spacing w:val="-3"/>
        </w:rPr>
        <w:t>"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pPr>
      <w:r>
        <w:rPr>
          <w:spacing w:val="-3"/>
        </w:rPr>
        <w:t>"</w:t>
      </w:r>
      <w:r>
        <w:rPr>
          <w:spacing w:val="-3"/>
          <w:u w:val="single"/>
        </w:rPr>
        <w:t>Gains</w:t>
      </w:r>
      <w:r>
        <w:rPr>
          <w:spacing w:val="-3"/>
        </w:rPr>
        <w:t>" means, with respect to a Party, an amount equal to the present value of the economic benefit (exclusive of Costs), if any, to such Party resulting from the termination of its obligations with respect to this Agreement determined in a commercially reasonable manner;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rPr>
      </w:pPr>
      <w:r>
        <w:rPr>
          <w:spacing w:val="-3"/>
        </w:rPr>
        <w:t>"</w:t>
      </w:r>
      <w:r>
        <w:rPr>
          <w:spacing w:val="-3"/>
          <w:u w:val="single"/>
        </w:rPr>
        <w:t>Losses</w:t>
      </w:r>
      <w:r>
        <w:rPr>
          <w:spacing w:val="-3"/>
        </w:rPr>
        <w:t>" means, with respect to a Party, an amount equal to the present value of the economic loss (exclusive of Costs), if any, to such Party resulting from the termination of its obligations with respect to this Agreement determined in a commercially reasonable manner.</w:t>
      </w:r>
      <w:ins w:id="197" w:author="Michael J. Curry" w:date="2000-07-31T19:05:00Z">
        <w:r>
          <w:rPr>
            <w:spacing w:val="-3"/>
          </w:rPr>
          <w:t xml:space="preserve">  The discount rate </w:t>
        </w:r>
      </w:ins>
      <w:ins w:id="198" w:author="Michael J. Curry" w:date="2000-07-31T19:07:00Z">
        <w:r>
          <w:rPr>
            <w:spacing w:val="-3"/>
          </w:rPr>
          <w:t xml:space="preserve">to calculate the present value herein shall be </w:t>
        </w:r>
      </w:ins>
      <w:ins w:id="199" w:author="Michael J. Curry" w:date="2000-07-31T19:07:00Z">
        <w:del w:id="200" w:author="EI" w:date="2000-08-01T15:31:00Z">
          <w:r>
            <w:rPr>
              <w:spacing w:val="-3"/>
            </w:rPr>
            <w:delText>???.</w:delText>
          </w:r>
        </w:del>
      </w:ins>
      <w:ins w:id="201" w:author="EI" w:date="2000-08-01T15:31:00Z">
        <w:r>
          <w:rPr>
            <w:spacing w:val="-3"/>
          </w:rPr>
          <w:t xml:space="preserve">the prime lending rate published by the </w:t>
        </w:r>
      </w:ins>
      <w:ins w:id="202" w:author="EI" w:date="2000-08-01T15:31:00Z">
        <w:r>
          <w:rPr>
            <w:spacing w:val="-3"/>
            <w:u w:val="single"/>
          </w:rPr>
          <w:t>Wall Street Journal</w:t>
        </w:r>
      </w:ins>
      <w:ins w:id="203" w:author="EI" w:date="2000-08-01T15:31:00Z">
        <w:r>
          <w:rPr>
            <w:spacing w:val="-3"/>
          </w:rPr>
          <w:t xml:space="preserve">  under “Money Rates”.</w:t>
        </w:r>
      </w:ins>
      <w:del w:id="204" w:author="Michael J. Curry" w:date="2000-07-31T19:05:00Z">
        <w:r>
          <w:rPr>
            <w:spacing w:val="-3"/>
          </w:rPr>
          <w:delText xml:space="preserve"> </w:delText>
        </w:r>
      </w:del>
    </w:p>
    <w:p>
      <w:pPr>
        <w:pStyle w:val="ArticleL3"/>
        <w:numPr>
          <w:ilvl w:val="2"/>
          <w:numId w:val="3"/>
        </w:numPr>
        <w:ind w:hanging="0" w:start="0"/>
        <w:rPr>
          <w:spacing w:val="-3"/>
        </w:rPr>
      </w:pPr>
      <w:r>
        <w:rPr>
          <w:b/>
          <w:spacing w:val="-3"/>
          <w:u w:val="single"/>
        </w:rPr>
        <w:t>Exclusions</w:t>
      </w:r>
      <w:r>
        <w:rPr>
          <w:b/>
          <w:spacing w:val="-3"/>
        </w:rPr>
        <w:t xml:space="preserve">.  </w:t>
      </w:r>
      <w:r>
        <w:rPr>
          <w:spacing w:val="-3"/>
        </w:rPr>
        <w:t xml:space="preserve">In no event, however, shall a Party's Gains, Losses, or Costs include any penalties, ratcheted demand, or similar charges.  At the time for payment of any amount due under this </w:t>
      </w:r>
      <w:r>
        <w:rPr>
          <w:spacing w:val="-3"/>
          <w:u w:val="single"/>
        </w:rPr>
        <w:t>Section 5.04</w:t>
      </w:r>
      <w:r>
        <w:rPr>
          <w:spacing w:val="-3"/>
        </w:rPr>
        <w:t>, each Party shall pay to the other Party all additional amounts payable by it pursuant to this Agreement, but all such amounts shall be netted and aggregated with any Early Termination Payment payable hereunder.</w:t>
      </w:r>
      <w:r>
        <w:rPr>
          <w:b/>
          <w:spacing w:val="-3"/>
        </w:rPr>
        <w:t>]  [UNDER REVIEW BY EPMI AND EWC]</w:t>
      </w:r>
    </w:p>
    <w:p>
      <w:pPr>
        <w:pStyle w:val="ArticleL2"/>
        <w:numPr>
          <w:ilvl w:val="1"/>
          <w:numId w:val="3"/>
        </w:numPr>
        <w:ind w:hanging="0" w:start="0"/>
        <w:rPr/>
      </w:pPr>
      <w:bookmarkStart w:id="41" w:name="__RefHeading___Toc489421219"/>
      <w:bookmarkEnd w:id="41"/>
      <w:r>
        <w:rPr/>
        <w:t>No Consequential Damages</w:t>
      </w:r>
    </w:p>
    <w:p>
      <w:pPr>
        <w:pStyle w:val="FlushLeft"/>
        <w:rPr/>
      </w:pPr>
      <w:r>
        <w:rPr>
          <w:b/>
          <w:spacing w:val="-3"/>
        </w:rPr>
        <w:t>[</w:t>
      </w:r>
      <w:r>
        <w:rPr>
          <w:spacing w:val="-3"/>
        </w:rPr>
        <w:t>IF NO REMEDY OR MEASURE OF DAMAGES IS EXPRESSLY HEREIN PROVIDED,</w:t>
      </w:r>
      <w:r>
        <w:rPr>
          <w:b/>
          <w:spacing w:val="-3"/>
        </w:rPr>
        <w:t>]</w:t>
      </w:r>
      <w:r>
        <w:rPr>
          <w:spacing w:val="-3"/>
        </w:rPr>
        <w:t xml:space="preserve">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t>
      </w:r>
      <w:r>
        <w:rPr/>
        <w:t>WHETHER OR NOT A PARTY HAD KNOWLEDGE OF THE CIRCUMSTANCES THAT RESULTED IN SUCH DAMAGES, OR COULD HAVE FORESEEN THAT SUCH DAMAGES WOULD OCCUR.  "</w:t>
      </w:r>
      <w:r>
        <w:rPr>
          <w:spacing w:val="-3"/>
        </w:rPr>
        <w:t>CONSEQUENTIAL, INCIDENTAL, SPECIAL, PUNITIVE, EXEMPLARY, OR INDIRECT DAMAGES, OR LOST PROFITS"</w:t>
      </w:r>
      <w:r>
        <w:rPr/>
        <w:t xml:space="preserve"> INCLUDE—AS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numPr>
          <w:ilvl w:val="0"/>
          <w:numId w:val="3"/>
        </w:numPr>
        <w:ind w:hanging="0" w:start="0"/>
        <w:rPr/>
      </w:pPr>
      <w:r>
        <w:rPr>
          <w:rFonts w:eastAsia="Times New Roman Bold"/>
        </w:rPr>
        <w:t xml:space="preserve">   </w:t>
      </w:r>
      <w:bookmarkStart w:id="42" w:name="__RefHeading___Toc489421220"/>
      <w:r>
        <w:rPr/>
        <w:t>Representations and Warranties</w:t>
      </w:r>
      <w:bookmarkEnd w:id="42"/>
      <w:r>
        <w:rPr/>
        <w:t xml:space="preserve"> </w:t>
      </w:r>
    </w:p>
    <w:p>
      <w:pPr>
        <w:pStyle w:val="ArticleL2"/>
        <w:numPr>
          <w:ilvl w:val="1"/>
          <w:numId w:val="3"/>
        </w:numPr>
        <w:ind w:hanging="0" w:start="0"/>
        <w:rPr/>
      </w:pPr>
      <w:bookmarkStart w:id="43" w:name="__RefHeading___Toc489421221"/>
      <w:bookmarkEnd w:id="43"/>
      <w:r>
        <w:rPr/>
        <w:t>Representations and Warranties of Seller</w:t>
      </w:r>
    </w:p>
    <w:p>
      <w:pPr>
        <w:pStyle w:val="FlushLeft"/>
        <w:rPr/>
      </w:pPr>
      <w:r>
        <w:rPr/>
        <w:t>Seller represents and warrants unconditionally to Purchaser that:</w:t>
      </w:r>
    </w:p>
    <w:p>
      <w:pPr>
        <w:pStyle w:val="ArticleL3"/>
        <w:numPr>
          <w:ilvl w:val="2"/>
          <w:numId w:val="3"/>
        </w:numPr>
        <w:ind w:hanging="0" w:start="0"/>
        <w:rPr/>
      </w:pPr>
      <w:r>
        <w:rPr/>
        <w:t>Seller is a limited duly formed, validly existing, and in good standing under the State of Delaware law and is duly authorized to do business in the State of Texas.</w:t>
      </w:r>
    </w:p>
    <w:p>
      <w:pPr>
        <w:pStyle w:val="ArticleL3"/>
        <w:numPr>
          <w:ilvl w:val="2"/>
          <w:numId w:val="3"/>
        </w:numPr>
        <w:ind w:hanging="0" w:start="0"/>
        <w:rPr/>
      </w:pPr>
      <w:r>
        <w:rPr/>
        <w:t>Seller has full power and lawful authority to accomplish, execute, and fulfill all of its obligations and duties under this Agreement.</w:t>
      </w:r>
    </w:p>
    <w:p>
      <w:pPr>
        <w:pStyle w:val="ArticleL3"/>
        <w:numPr>
          <w:ilvl w:val="2"/>
          <w:numId w:val="3"/>
        </w:numPr>
        <w:ind w:hanging="0" w:start="0"/>
        <w:rPr/>
      </w:pPr>
      <w:r>
        <w:rPr/>
        <w:t>Seller will use its reasonable efforts to assure that the Facility is maintained in accordance with prudent industry practices for the same or similar facilities.</w:t>
      </w:r>
    </w:p>
    <w:p>
      <w:pPr>
        <w:pStyle w:val="ArticleL3"/>
        <w:numPr>
          <w:ilvl w:val="2"/>
          <w:numId w:val="3"/>
        </w:numPr>
        <w:ind w:hanging="0" w:start="0"/>
        <w:rPr/>
      </w:pPr>
      <w:r>
        <w:rPr/>
        <w:t>The Facility shall be designed and constructed with wind turbines (i.e., the tower, foundation, blades and nacelle including equipment housed inside the nacelle) that are designed to withstand wind gusts of up to 100 knots.</w:t>
      </w:r>
    </w:p>
    <w:p>
      <w:pPr>
        <w:pStyle w:val="ArticleL2"/>
        <w:numPr>
          <w:ilvl w:val="1"/>
          <w:numId w:val="3"/>
        </w:numPr>
        <w:ind w:hanging="0" w:start="0"/>
        <w:rPr/>
      </w:pPr>
      <w:bookmarkStart w:id="44" w:name="__RefHeading___Toc489421222"/>
      <w:bookmarkEnd w:id="44"/>
      <w:r>
        <w:rPr/>
        <w:t>Representations and Warranties of Purchaser</w:t>
      </w:r>
    </w:p>
    <w:p>
      <w:pPr>
        <w:pStyle w:val="FlushLeft"/>
        <w:rPr/>
      </w:pPr>
      <w:r>
        <w:rPr/>
        <w:t>Purchaser represents and warrants unconditionally to Seller that:</w:t>
      </w:r>
    </w:p>
    <w:p>
      <w:pPr>
        <w:pStyle w:val="ArticleL3"/>
        <w:numPr>
          <w:ilvl w:val="2"/>
          <w:numId w:val="3"/>
        </w:numPr>
        <w:ind w:hanging="0" w:start="0"/>
        <w:rPr/>
      </w:pPr>
      <w:r>
        <w:rPr/>
        <w:t>Purchaser is a corporation duly organized, validly existing, and in good standing under Delaware law and is duly authorized to do business in the State of Texas.</w:t>
      </w:r>
    </w:p>
    <w:p>
      <w:pPr>
        <w:pStyle w:val="ArticleL3"/>
        <w:numPr>
          <w:ilvl w:val="2"/>
          <w:numId w:val="3"/>
        </w:numPr>
        <w:ind w:hanging="0" w:start="0"/>
        <w:rPr/>
      </w:pPr>
      <w:r>
        <w:rPr/>
        <w:t>Purchaser has full power and lawful authority to accomplish, execute, and fulfill all of its obligations and duties under this Agreement.</w:t>
      </w:r>
    </w:p>
    <w:p>
      <w:pPr>
        <w:pStyle w:val="ArticleL3"/>
        <w:numPr>
          <w:ilvl w:val="2"/>
          <w:numId w:val="3"/>
        </w:numPr>
        <w:ind w:hanging="0" w:start="0"/>
        <w:rPr/>
      </w:pPr>
      <w:r>
        <w:rPr/>
        <w:t xml:space="preserve">To the best of Purchaser's knowledge, after due investigation, there are no pending New Taxes in effect or proposed as of the Signing Date which will give rise to Purchaser delivering a written notice for payment to Seller as contemplated under Section 5.06. </w:t>
      </w:r>
    </w:p>
    <w:p>
      <w:pPr>
        <w:pStyle w:val="ArticleL1"/>
        <w:numPr>
          <w:ilvl w:val="0"/>
          <w:numId w:val="3"/>
        </w:numPr>
        <w:ind w:hanging="0" w:start="0"/>
        <w:rPr/>
      </w:pPr>
      <w:bookmarkStart w:id="45" w:name="__RefHeading___Toc489421223"/>
      <w:bookmarkEnd w:id="45"/>
      <w:r>
        <w:rPr/>
        <w:t>Security</w:t>
      </w:r>
    </w:p>
    <w:p>
      <w:pPr>
        <w:pStyle w:val="ArticleL2"/>
        <w:numPr>
          <w:ilvl w:val="1"/>
          <w:numId w:val="3"/>
        </w:numPr>
        <w:ind w:hanging="0" w:start="0"/>
        <w:rPr/>
      </w:pPr>
      <w:bookmarkStart w:id="46" w:name="__RefHeading___Toc489421224"/>
      <w:bookmarkEnd w:id="46"/>
      <w:r>
        <w:rPr/>
        <w:t>Security Required</w:t>
      </w:r>
    </w:p>
    <w:p>
      <w:pPr>
        <w:pStyle w:val="ArticleL3"/>
        <w:numPr>
          <w:ilvl w:val="2"/>
          <w:numId w:val="3"/>
        </w:numPr>
        <w:ind w:hanging="0" w:start="0"/>
        <w:rPr/>
      </w:pPr>
      <w:r>
        <w:rPr/>
        <w:t xml:space="preserve">To secure the payment of all amounts due by Seller to Purchaser under this Agreement, Seller shall, simultaneously upon execution of this Agreement, </w:t>
      </w:r>
      <w:ins w:id="205" w:author="dportz" w:date="2000-08-01T08:31:00Z">
        <w:r>
          <w:rPr/>
          <w:t>cause Enron Corp. to deliver a guaranty in form and substance satisfactory to Purchaser (the "Seller</w:t>
        </w:r>
      </w:ins>
      <w:ins w:id="206" w:author="dportz" w:date="2000-08-01T08:31:00Z">
        <w:r>
          <w:rPr>
            <w:u w:val="single"/>
          </w:rPr>
          <w:t xml:space="preserve"> Guaranty</w:t>
        </w:r>
      </w:ins>
      <w:ins w:id="207" w:author="dportz" w:date="2000-08-01T08:31:00Z">
        <w:r>
          <w:rPr/>
          <w:t>")</w:t>
        </w:r>
      </w:ins>
      <w:del w:id="208" w:author="dportz" w:date="2000-08-01T08:32:00Z">
        <w:r>
          <w:rPr/>
          <w:delText>give to Purchaser, and maintain in effect continuously thereafter until it is released by Purchaser, security under the provisions of this Article VII (the "</w:delText>
        </w:r>
      </w:del>
      <w:del w:id="209" w:author="dportz" w:date="2000-08-01T08:32:00Z">
        <w:r>
          <w:rPr>
            <w:u w:val="single"/>
          </w:rPr>
          <w:delText>Seller Security</w:delText>
        </w:r>
      </w:del>
      <w:del w:id="210" w:author="dportz" w:date="2000-08-01T08:32:00Z">
        <w:r>
          <w:rPr/>
          <w:delText xml:space="preserve">"). </w:delText>
        </w:r>
      </w:del>
      <w:ins w:id="211" w:author="dportz" w:date="2000-08-01T08:32:00Z">
        <w:r>
          <w:rPr/>
          <w:t>[Modify remainder of this Article consistent with a Seller Guaranty being provided.]</w:t>
        </w:r>
      </w:ins>
      <w:r>
        <w:rPr/>
        <w:t xml:space="preserve"> Seller shall provide written evidence reasonably satisfactory to Purchaser that the Security is in effect, including without limitation the operative documents that create the Security (the "</w:t>
      </w:r>
      <w:r>
        <w:rPr>
          <w:u w:val="single"/>
        </w:rPr>
        <w:t>Security Documents</w:t>
      </w:r>
      <w:r>
        <w:rPr/>
        <w:t>").</w:t>
      </w:r>
    </w:p>
    <w:p>
      <w:pPr>
        <w:pStyle w:val="ArticleL3"/>
        <w:numPr>
          <w:ilvl w:val="2"/>
          <w:numId w:val="3"/>
        </w:numPr>
        <w:ind w:hanging="0" w:start="0"/>
        <w:rPr/>
      </w:pPr>
      <w:r>
        <w:rPr/>
        <w:t>To secure the payment of all amounts due by Purchaser to Seller under this Agreement, Purchaser shall, simultaneously upon execution of this Agreement, cause Enron Corp. to deliver a guaranty in form and substance satisfactory to Seller (the "</w:t>
      </w:r>
      <w:r>
        <w:rPr>
          <w:u w:val="single"/>
        </w:rPr>
        <w:t>Purchaser Guaranty</w:t>
      </w:r>
      <w:r>
        <w:rPr/>
        <w:t xml:space="preserve">"). </w:t>
      </w:r>
    </w:p>
    <w:p>
      <w:pPr>
        <w:pStyle w:val="ArticleL2"/>
        <w:numPr>
          <w:ilvl w:val="1"/>
          <w:numId w:val="3"/>
        </w:numPr>
        <w:ind w:hanging="0" w:start="0"/>
        <w:rPr/>
      </w:pPr>
      <w:bookmarkStart w:id="47" w:name="__RefHeading___Toc489421225"/>
      <w:bookmarkEnd w:id="47"/>
      <w:r>
        <w:rPr/>
        <w:t>Security Amount</w:t>
      </w:r>
    </w:p>
    <w:p>
      <w:pPr>
        <w:pStyle w:val="FlushLeft"/>
        <w:rPr/>
      </w:pPr>
      <w:r>
        <w:rPr/>
        <w:t>The amount of the Seller Security must be an amount not less than $5.00 times the Annual Quantity in MWh.</w:t>
      </w:r>
    </w:p>
    <w:p>
      <w:pPr>
        <w:pStyle w:val="ArticleL2"/>
        <w:numPr>
          <w:ilvl w:val="1"/>
          <w:numId w:val="3"/>
        </w:numPr>
        <w:ind w:hanging="0" w:start="0"/>
        <w:rPr/>
      </w:pPr>
      <w:bookmarkStart w:id="48" w:name="__RefHeading___Toc489421226"/>
      <w:r>
        <w:rPr/>
        <w:t>Form of Security</w:t>
      </w:r>
      <w:bookmarkEnd w:id="48"/>
      <w:r>
        <w:rPr/>
        <w:t xml:space="preserve"> </w:t>
      </w:r>
    </w:p>
    <w:p>
      <w:pPr>
        <w:pStyle w:val="FlushLeft"/>
        <w:rPr/>
      </w:pPr>
      <w:r>
        <w:rPr/>
        <w:t>The Security must consist of one or more cash equivalents in favor of Purchaser, including but not limited to an irrevocable letter of credit payable upon demand.  The bank or other institution providing the Security (the "</w:t>
      </w:r>
      <w:r>
        <w:rPr>
          <w:u w:val="single"/>
        </w:rPr>
        <w:t>Security Provider</w:t>
      </w:r>
      <w:r>
        <w:rPr/>
        <w:t>") must be acceptable to Purchaser in its reasonable discretion.  The Security must be in a form and substance reasonably acceptable to Purchaser, consistent with this Article VII, and maintained at Seller's expense.</w:t>
      </w:r>
    </w:p>
    <w:p>
      <w:pPr>
        <w:pStyle w:val="ArticleL2"/>
        <w:numPr>
          <w:ilvl w:val="1"/>
          <w:numId w:val="3"/>
        </w:numPr>
        <w:ind w:hanging="0" w:start="0"/>
        <w:rPr/>
      </w:pPr>
      <w:bookmarkStart w:id="49" w:name="__RefHeading___Toc489421227"/>
      <w:r>
        <w:rPr/>
        <w:t>Renewal of Security</w:t>
      </w:r>
      <w:bookmarkEnd w:id="49"/>
      <w:r>
        <w:rPr/>
        <w:t xml:space="preserve"> </w:t>
      </w:r>
    </w:p>
    <w:p>
      <w:pPr>
        <w:pStyle w:val="FlushLeft"/>
        <w:rPr/>
      </w:pPr>
      <w:r>
        <w:rPr/>
        <w:t>Seller shall renew the Security, or obtain replacement Security, no later than sixty (60) days before the current Security expires or is terminated.</w:t>
      </w:r>
    </w:p>
    <w:p>
      <w:pPr>
        <w:pStyle w:val="ArticleL2"/>
        <w:numPr>
          <w:ilvl w:val="1"/>
          <w:numId w:val="3"/>
        </w:numPr>
        <w:ind w:hanging="0" w:start="0"/>
        <w:rPr/>
      </w:pPr>
      <w:bookmarkStart w:id="50" w:name="__RefHeading___Toc489421228"/>
      <w:r>
        <w:rPr/>
        <w:t>Notice of Termination</w:t>
      </w:r>
      <w:bookmarkEnd w:id="50"/>
      <w:r>
        <w:rPr/>
        <w:t xml:space="preserve"> </w:t>
      </w:r>
    </w:p>
    <w:p>
      <w:pPr>
        <w:pStyle w:val="FlushLeft"/>
        <w:rPr/>
      </w:pPr>
      <w:r>
        <w:rPr/>
        <w:t>The Security Documents must obligate the Security Provider to provide Purchaser with no less than sixty (60) days advance written notice before the Security may be terminated or modified.</w:t>
      </w:r>
    </w:p>
    <w:p>
      <w:pPr>
        <w:pStyle w:val="ArticleL2"/>
        <w:numPr>
          <w:ilvl w:val="1"/>
          <w:numId w:val="3"/>
        </w:numPr>
        <w:ind w:hanging="0" w:start="0"/>
        <w:rPr/>
      </w:pPr>
      <w:bookmarkStart w:id="51" w:name="__RefHeading___Toc489421229"/>
      <w:r>
        <w:rPr/>
        <w:t>Access to Security</w:t>
      </w:r>
      <w:bookmarkEnd w:id="51"/>
      <w:r>
        <w:rPr/>
        <w:t xml:space="preserve"> </w:t>
      </w:r>
    </w:p>
    <w:p>
      <w:pPr>
        <w:pStyle w:val="FlushLeft"/>
        <w:keepNext w:val="true"/>
        <w:rPr/>
      </w:pPr>
      <w:r>
        <w:rPr/>
        <w:t>Purchaser may access the Security if:</w:t>
      </w:r>
    </w:p>
    <w:p>
      <w:pPr>
        <w:pStyle w:val="ArticleL3"/>
        <w:numPr>
          <w:ilvl w:val="2"/>
          <w:numId w:val="3"/>
        </w:numPr>
        <w:ind w:hanging="0" w:start="0"/>
        <w:rPr/>
      </w:pPr>
      <w:r>
        <w:rPr/>
        <w:t xml:space="preserve">Seller breaches any of its obligations under this Article VII, including without limitation the obligation to renew the Security at least sixty (60) days before its expiration; </w:t>
      </w:r>
    </w:p>
    <w:p>
      <w:pPr>
        <w:pStyle w:val="ArticleL3"/>
        <w:numPr>
          <w:ilvl w:val="2"/>
          <w:numId w:val="3"/>
        </w:numPr>
        <w:ind w:hanging="0" w:start="0"/>
        <w:rPr/>
      </w:pPr>
      <w:r>
        <w:rPr/>
        <w:t xml:space="preserve">Purchaser receives a notice from the Security Provider that the Security is going to be terminated or modified; </w:t>
      </w:r>
    </w:p>
    <w:p>
      <w:pPr>
        <w:pStyle w:val="ArticleL3"/>
        <w:numPr>
          <w:ilvl w:val="2"/>
          <w:numId w:val="3"/>
        </w:numPr>
        <w:ind w:hanging="0" w:start="0"/>
        <w:rPr/>
      </w:pPr>
      <w:r>
        <w:rPr/>
        <w:t xml:space="preserve">Seller fails to pay, when due, any liquidated and undisputed amounts that Seller owes to Purchaser under this Agreement; or </w:t>
      </w:r>
    </w:p>
    <w:p>
      <w:pPr>
        <w:pStyle w:val="ArticleL3"/>
        <w:numPr>
          <w:ilvl w:val="2"/>
          <w:numId w:val="3"/>
        </w:numPr>
        <w:ind w:hanging="0" w:start="0"/>
        <w:rPr/>
      </w:pPr>
      <w:r>
        <w:rPr/>
        <w:t>This Agreement is terminated by Purchaser under any provision of this Agreement.</w:t>
      </w:r>
    </w:p>
    <w:p>
      <w:pPr>
        <w:pStyle w:val="ArticleL2"/>
        <w:numPr>
          <w:ilvl w:val="1"/>
          <w:numId w:val="3"/>
        </w:numPr>
        <w:ind w:hanging="0" w:start="0"/>
        <w:rPr/>
      </w:pPr>
      <w:bookmarkStart w:id="52" w:name="__RefHeading___Toc489421230"/>
      <w:r>
        <w:rPr/>
        <w:t>Protection of Security</w:t>
      </w:r>
      <w:bookmarkEnd w:id="52"/>
      <w:r>
        <w:rPr/>
        <w:t xml:space="preserve"> </w:t>
      </w:r>
    </w:p>
    <w:p>
      <w:pPr>
        <w:pStyle w:val="FlushLeft"/>
        <w:rPr/>
      </w:pPr>
      <w:ins w:id="212" w:author="dportz" w:date="2000-08-01T08:53:00Z">
        <w:r>
          <w:rPr/>
          <w:t xml:space="preserve">{Credit:  tighten this up] </w:t>
        </w:r>
      </w:ins>
      <w:r>
        <w:rPr/>
        <w:t>If Seller does not renew or replace the Security at least sixty (60) days before it expires, or if Purchaser receives a notice from the Security Provider that the Security will be terminated or modified, then Purchaser may access the Security and hold the proceeds as Security under this Agreement.  Purchaser has a security interest in the proceeds.  If Seller later provides replacement Security under this Agreement, then Purchaser shall return those proceeds to Seller.</w:t>
      </w:r>
    </w:p>
    <w:p>
      <w:pPr>
        <w:pStyle w:val="ArticleL2"/>
        <w:numPr>
          <w:ilvl w:val="1"/>
          <w:numId w:val="3"/>
        </w:numPr>
        <w:ind w:hanging="0" w:start="0"/>
        <w:rPr/>
      </w:pPr>
      <w:bookmarkStart w:id="53" w:name="__RefHeading___Toc489421231"/>
      <w:r>
        <w:rPr/>
        <w:t>Replacement of Applied Security</w:t>
      </w:r>
      <w:bookmarkEnd w:id="53"/>
      <w:r>
        <w:rPr/>
        <w:t xml:space="preserve"> </w:t>
      </w:r>
    </w:p>
    <w:p>
      <w:pPr>
        <w:pStyle w:val="FlushLeft"/>
        <w:rPr/>
      </w:pPr>
      <w:r>
        <w:rPr/>
        <w:t>If Purchaser accesses the Security and applies any of it to Seller's obligations, then Seller must, within ten (10) days after it receives a written notice from Purchaser of such access and application, provide additional Security in an amount necessary to restore the amount of Security to the level required under this Agreement.</w:t>
      </w:r>
    </w:p>
    <w:p>
      <w:pPr>
        <w:pStyle w:val="ArticleL2"/>
        <w:numPr>
          <w:ilvl w:val="1"/>
          <w:numId w:val="3"/>
        </w:numPr>
        <w:ind w:hanging="0" w:start="0"/>
        <w:rPr/>
      </w:pPr>
      <w:bookmarkStart w:id="54" w:name="__RefHeading___Toc489421232"/>
      <w:r>
        <w:rPr/>
        <w:t>Release of Security</w:t>
      </w:r>
      <w:bookmarkEnd w:id="54"/>
      <w:r>
        <w:rPr/>
        <w:t xml:space="preserve"> </w:t>
      </w:r>
    </w:p>
    <w:p>
      <w:pPr>
        <w:pStyle w:val="FlushLeft"/>
        <w:rPr/>
      </w:pPr>
      <w:r>
        <w:rPr/>
        <w:t>Purchaser shall release its interest in the Security promptly after this Agreement is terminated or expires and after Seller has paid to Purchaser all amounts, if any, due to Purchaser under this Agreement.</w:t>
      </w:r>
    </w:p>
    <w:p>
      <w:pPr>
        <w:pStyle w:val="ArticleL2"/>
        <w:numPr>
          <w:ilvl w:val="1"/>
          <w:numId w:val="3"/>
        </w:numPr>
        <w:ind w:hanging="0" w:start="0"/>
        <w:rPr/>
      </w:pPr>
      <w:bookmarkStart w:id="55" w:name="__RefHeading___Toc489421233"/>
      <w:bookmarkEnd w:id="55"/>
      <w:r>
        <w:rPr/>
        <w:t>Survival</w:t>
      </w:r>
    </w:p>
    <w:p>
      <w:pPr>
        <w:pStyle w:val="FlushLeft"/>
        <w:rPr/>
      </w:pPr>
      <w:r>
        <w:rPr/>
        <w:t>Sections 7.06 and 7.09 of this Article VII survive the termination or expiration of this Agreement.</w:t>
      </w:r>
    </w:p>
    <w:p>
      <w:pPr>
        <w:pStyle w:val="ArticleL1"/>
        <w:numPr>
          <w:ilvl w:val="0"/>
          <w:numId w:val="3"/>
        </w:numPr>
        <w:ind w:hanging="0" w:start="0"/>
        <w:rPr/>
      </w:pPr>
      <w:r>
        <w:rPr>
          <w:rFonts w:eastAsia="Times New Roman Bold"/>
        </w:rPr>
        <w:t xml:space="preserve">   </w:t>
      </w:r>
      <w:bookmarkStart w:id="56" w:name="__RefHeading___Toc489421234"/>
      <w:r>
        <w:rPr/>
        <w:t>Confidentiality</w:t>
      </w:r>
      <w:bookmarkEnd w:id="56"/>
      <w:r>
        <w:rPr/>
        <w:t xml:space="preserve"> </w:t>
      </w:r>
    </w:p>
    <w:p>
      <w:pPr>
        <w:pStyle w:val="ArticleL2"/>
        <w:numPr>
          <w:ilvl w:val="1"/>
          <w:numId w:val="3"/>
        </w:numPr>
        <w:ind w:hanging="0" w:start="0"/>
        <w:rPr/>
      </w:pPr>
      <w:bookmarkStart w:id="57" w:name="__RefHeading___Toc489421235"/>
      <w:bookmarkEnd w:id="57"/>
      <w:r>
        <w:rPr/>
        <w:t>Scope</w:t>
      </w:r>
    </w:p>
    <w:p>
      <w:pPr>
        <w:pStyle w:val="FlushLeft"/>
        <w:rPr/>
      </w:pPr>
      <w:r>
        <w:rPr/>
        <w:t>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Article VIII survives the termination of this Agreement until January 1, 2007.</w:t>
      </w:r>
    </w:p>
    <w:p>
      <w:pPr>
        <w:pStyle w:val="ArticleL2"/>
        <w:numPr>
          <w:ilvl w:val="1"/>
          <w:numId w:val="3"/>
        </w:numPr>
        <w:ind w:hanging="0" w:start="0"/>
        <w:rPr/>
      </w:pPr>
      <w:bookmarkStart w:id="58" w:name="__RefHeading___Toc489421236"/>
      <w:r>
        <w:rPr/>
        <w:t>Confidential</w:t>
      </w:r>
      <w:bookmarkEnd w:id="58"/>
      <w:r>
        <w:rPr/>
        <w:t xml:space="preserve"> </w:t>
      </w:r>
    </w:p>
    <w:p>
      <w:pPr>
        <w:pStyle w:val="FlushLeft"/>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Section 8.03.  For purposes of this Agreement, "Confidential" information shall not include any of the following:  </w:t>
      </w:r>
    </w:p>
    <w:p>
      <w:pPr>
        <w:pStyle w:val="ArticleL4"/>
        <w:numPr>
          <w:ilvl w:val="3"/>
          <w:numId w:val="3"/>
        </w:numPr>
        <w:ind w:hanging="0" w:start="0"/>
        <w:rPr/>
      </w:pPr>
      <w:r>
        <w:rPr/>
        <w:t>any and all information that was or becomes generally available to the public through no fault of the non-disclosing Party;</w:t>
      </w:r>
    </w:p>
    <w:p>
      <w:pPr>
        <w:pStyle w:val="ArticleL4"/>
        <w:numPr>
          <w:ilvl w:val="3"/>
          <w:numId w:val="3"/>
        </w:numPr>
        <w:ind w:hanging="0" w:start="0"/>
        <w:rPr/>
      </w:pPr>
      <w:r>
        <w:rPr/>
        <w:t xml:space="preserve">any and all information that was in the possession of the non-disclosing Party at the time of its receipt thereby without any restriction on disclosure; or </w:t>
      </w:r>
    </w:p>
    <w:p>
      <w:pPr>
        <w:pStyle w:val="ArticleL4"/>
        <w:numPr>
          <w:ilvl w:val="3"/>
          <w:numId w:val="3"/>
        </w:numPr>
        <w:ind w:hanging="0" w:start="0"/>
        <w:rPr/>
      </w:pPr>
      <w:r>
        <w:rPr/>
        <w:t xml:space="preserve">any information that is independently developed by the non-disclosing Party. </w:t>
      </w:r>
    </w:p>
    <w:p>
      <w:pPr>
        <w:pStyle w:val="FlushLeft"/>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numPr>
          <w:ilvl w:val="1"/>
          <w:numId w:val="3"/>
        </w:numPr>
        <w:ind w:hanging="0" w:start="0"/>
        <w:rPr/>
      </w:pPr>
      <w:bookmarkStart w:id="59" w:name="__RefHeading___Toc489421237"/>
      <w:r>
        <w:rPr/>
        <w:t>Exceptions</w:t>
      </w:r>
      <w:bookmarkEnd w:id="59"/>
      <w:r>
        <w:rPr/>
        <w:t xml:space="preserve"> </w:t>
      </w:r>
    </w:p>
    <w:p>
      <w:pPr>
        <w:pStyle w:val="FlushLeft"/>
        <w:rPr/>
      </w:pPr>
      <w:r>
        <w:rPr/>
        <w:t>Either Party may, without violating this Article VIII, disclose matters that are made confidential by this Agreement:</w:t>
      </w:r>
    </w:p>
    <w:p>
      <w:pPr>
        <w:pStyle w:val="ArticleL3"/>
        <w:numPr>
          <w:ilvl w:val="2"/>
          <w:numId w:val="3"/>
        </w:numPr>
        <w:ind w:hanging="0" w:start="0"/>
        <w:rPr/>
      </w:pPr>
      <w:r>
        <w:rPr/>
        <w:t xml:space="preserve">to actual or prospective fuel suppliers,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Article VIII; </w:t>
      </w:r>
    </w:p>
    <w:p>
      <w:pPr>
        <w:pStyle w:val="ArticleL3"/>
        <w:numPr>
          <w:ilvl w:val="2"/>
          <w:numId w:val="3"/>
        </w:numPr>
        <w:ind w:hanging="0" w:start="0"/>
        <w:rPr/>
      </w:pPr>
      <w:r>
        <w:rPr/>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numPr>
          <w:ilvl w:val="2"/>
          <w:numId w:val="3"/>
        </w:numPr>
        <w:ind w:hanging="0" w:start="0"/>
        <w:rPr/>
      </w:pPr>
      <w:r>
        <w:rPr/>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numPr>
          <w:ilvl w:val="2"/>
          <w:numId w:val="3"/>
        </w:numPr>
        <w:ind w:hanging="0" w:start="0"/>
        <w:rPr/>
      </w:pPr>
      <w:r>
        <w:rPr/>
        <w:t>to its parent company or  such Party’s affiliates, if the Party making the disclosure informs such persons of the confidential nature of the Agreement.</w:t>
      </w:r>
    </w:p>
    <w:p>
      <w:pPr>
        <w:pStyle w:val="FlushLeft"/>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renewable energy credits, but such Party shall make reasonable efforts to restrict public access to the information disclosed, by protective order or otherwise.</w:t>
      </w:r>
    </w:p>
    <w:p>
      <w:pPr>
        <w:pStyle w:val="ArticleL2"/>
        <w:numPr>
          <w:ilvl w:val="1"/>
          <w:numId w:val="3"/>
        </w:numPr>
        <w:ind w:hanging="0" w:start="0"/>
        <w:rPr/>
      </w:pPr>
      <w:bookmarkStart w:id="60" w:name="__RefHeading___Toc489421238"/>
      <w:r>
        <w:rPr/>
        <w:t>Specific Performance</w:t>
      </w:r>
      <w:bookmarkEnd w:id="60"/>
      <w:r>
        <w:rPr/>
        <w:t xml:space="preserve"> </w:t>
      </w:r>
    </w:p>
    <w:p>
      <w:pPr>
        <w:pStyle w:val="FlushLeft"/>
        <w:rPr/>
      </w:pPr>
      <w:r>
        <w:rPr/>
        <w:t>It will be impossible or very difficult to measure in terms of money the damages that would accrue due to any breach of this Article VIII, or any failure to perform any obligation contained in this Article VIII, and, for that reason, among others, each Party is entitled to specific performance of this Article VIII.  If either Party institutes any proceeding to enforce any part of this Article VIII, the other Party now waives any claim or defense that an adequate remedy at law exists.</w:t>
      </w:r>
    </w:p>
    <w:p>
      <w:pPr>
        <w:pStyle w:val="ArticleL1"/>
        <w:numPr>
          <w:ilvl w:val="0"/>
          <w:numId w:val="3"/>
        </w:numPr>
        <w:ind w:hanging="0" w:start="0"/>
        <w:rPr/>
      </w:pPr>
      <w:r>
        <w:rPr>
          <w:rFonts w:eastAsia="Times New Roman Bold"/>
        </w:rPr>
        <w:t xml:space="preserve">   </w:t>
      </w:r>
      <w:bookmarkStart w:id="61" w:name="__RefHeading___Toc489421239"/>
      <w:r>
        <w:rPr/>
        <w:t>Miscellaneous</w:t>
      </w:r>
      <w:bookmarkEnd w:id="61"/>
      <w:r>
        <w:rPr/>
        <w:t xml:space="preserve"> </w:t>
      </w:r>
    </w:p>
    <w:p>
      <w:pPr>
        <w:pStyle w:val="ArticleL2"/>
        <w:numPr>
          <w:ilvl w:val="1"/>
          <w:numId w:val="3"/>
        </w:numPr>
        <w:ind w:hanging="0" w:start="0"/>
        <w:rPr/>
      </w:pPr>
      <w:bookmarkStart w:id="62" w:name="__RefHeading___Toc489421240"/>
      <w:r>
        <w:rPr/>
        <w:t>Subject to Regulation</w:t>
      </w:r>
      <w:bookmarkEnd w:id="62"/>
      <w:r>
        <w:rPr/>
        <w:t xml:space="preserve"> </w:t>
      </w:r>
    </w:p>
    <w:p>
      <w:pPr>
        <w:pStyle w:val="FlushLeft"/>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numPr>
          <w:ilvl w:val="1"/>
          <w:numId w:val="3"/>
        </w:numPr>
        <w:ind w:hanging="0" w:start="0"/>
        <w:rPr/>
      </w:pPr>
      <w:bookmarkStart w:id="63" w:name="__RefHeading___Toc489421241"/>
      <w:r>
        <w:rPr/>
        <w:t>Change in Law</w:t>
      </w:r>
      <w:bookmarkEnd w:id="63"/>
      <w:r>
        <w:rPr/>
        <w:t xml:space="preserve"> </w:t>
      </w:r>
    </w:p>
    <w:p>
      <w:pPr>
        <w:pStyle w:val="FlushLeft"/>
        <w:rPr/>
      </w:pPr>
      <w:r>
        <w:rPr/>
        <w:t xml:space="preserve">The Parties agree that and intend for this Agreement to continue even if in the event Section 39.904 of the Texas Utilities Code is repealed, with or without replacement, </w:t>
      </w:r>
      <w:del w:id="213" w:author="dportz" w:date="2000-08-01T08:37:00Z">
        <w:r>
          <w:rPr/>
          <w:delText>-</w:delText>
        </w:r>
      </w:del>
      <w:r>
        <w:rPr/>
        <w:t>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numPr>
          <w:ilvl w:val="1"/>
          <w:numId w:val="3"/>
        </w:numPr>
        <w:ind w:hanging="0" w:start="0"/>
        <w:rPr/>
      </w:pPr>
      <w:bookmarkStart w:id="64" w:name="__RefHeading___Toc489421242"/>
      <w:r>
        <w:rPr/>
        <w:t>Assignment</w:t>
      </w:r>
      <w:bookmarkEnd w:id="64"/>
      <w:r>
        <w:rPr/>
        <w:t xml:space="preserve"> </w:t>
      </w:r>
    </w:p>
    <w:p>
      <w:pPr>
        <w:pStyle w:val="FlushLeft"/>
        <w:rPr>
          <w:b/>
        </w:rPr>
      </w:pPr>
      <w:ins w:id="214" w:author="dportz" w:date="2000-08-01T08:58:00Z">
        <w:r>
          <w:rPr/>
          <w:t xml:space="preserve">[Credit:  needs further modification] </w:t>
        </w:r>
      </w:ins>
      <w:r>
        <w:rPr/>
        <w:t>Neither Party shall assign this Agreement or any of its rights hereunder without the prior written consent of the other Party, except as expressly provided in this Section 9.03.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w:t>
      </w:r>
      <w:del w:id="215" w:author="Michael J. Curry" w:date="2000-07-31T19:09:00Z">
        <w:r>
          <w:rPr/>
          <w:delText>.</w:delText>
        </w:r>
      </w:del>
      <w:r>
        <w:rPr/>
        <w:t xml:space="preserve">, and (d) transfer or assign, or partially transfer or assign, this Agreement to any person or entity with an Acceptable Credit Rating at the time of the transfer or assignment.  In the case of clauses (b), (c), and (d), any such assignment shall </w:t>
      </w:r>
      <w:ins w:id="216" w:author="dportz" w:date="2000-08-01T08:55:00Z">
        <w:r>
          <w:rPr/>
          <w:t>subject to the non-assigning part</w:t>
        </w:r>
      </w:ins>
      <w:ins w:id="217" w:author="dportz" w:date="2000-08-01T08:55:00Z">
        <w:del w:id="218" w:author="EI" w:date="2000-08-01T11:18:00Z">
          <w:r>
            <w:rPr/>
            <w:delText>i</w:delText>
          </w:r>
        </w:del>
      </w:ins>
      <w:ins w:id="219" w:author="dportz" w:date="2000-08-01T08:55:00Z">
        <w:r>
          <w:rPr/>
          <w:t>y’s favorable review of the prospective assignee’s financial position and creditworthiness, which shall not be unreasonably withheld</w:t>
        </w:r>
      </w:ins>
      <w:ins w:id="220" w:author="dportz" w:date="2000-08-01T08:57:00Z">
        <w:r>
          <w:rPr/>
          <w:t xml:space="preserve">, and shall </w:t>
        </w:r>
      </w:ins>
      <w:r>
        <w:rPr/>
        <w:t xml:space="preserve">be effective as of the date such assignee shall agree in writing to be bound by the terms and conditions hereof.  Any attempted assignment that violates this Section 9.03 is void and ineffective. </w:t>
      </w:r>
      <w:r>
        <w:rPr>
          <w:spacing w:val="-3"/>
        </w:rPr>
        <w:t xml:space="preserve"> No assignment or transfer permitted under clauses (a), (b), or (c) of </w:t>
      </w:r>
      <w:r>
        <w:rPr>
          <w:spacing w:val="-3"/>
          <w:u w:val="single"/>
        </w:rPr>
        <w:t>Section 9.03</w:t>
      </w:r>
      <w:r>
        <w:rPr>
          <w:spacing w:val="-3"/>
        </w:rPr>
        <w:t xml:space="preserve"> shall relieve Seller or </w:t>
      </w:r>
      <w:r>
        <w:rPr/>
        <w:t xml:space="preserve">Purchaser </w:t>
      </w:r>
      <w:r>
        <w:rPr>
          <w:spacing w:val="-3"/>
        </w:rPr>
        <w:t>of any of their respective obligations under this Agreement.</w:t>
      </w:r>
      <w:r>
        <w:rPr/>
        <w:t xml:space="preserve">  An assignment or transfer permitted under clause (d) of </w:t>
      </w:r>
      <w:r>
        <w:rPr>
          <w:u w:val="single"/>
        </w:rPr>
        <w:t>Section 9.03</w:t>
      </w:r>
      <w:r>
        <w:rPr/>
        <w:t xml:space="preserve"> shall relieve Seller or Purchaser of their respective obligations under this Agreement from and after the effective date of the assignment or transfer.  This Agreement inures to the benefit of and binds both (a) Purchaser, its successors, and its assigns allowed under this Agreement, and (b) Seller, its successors, and its assigns allowed under this Agreement.  For purposes hereof, "Acceptable Credit Rating" means, with respect to any person or entity, a rating for the long-term, unsecured, senior debt not supported by third-party credit enhancement of such person or entity of BBB- or greater by S&amp;P, Baa3 or greater by Moody's, or BBB- or greater by Duff &amp; Phelps, "Moody's" means Moody's Investor Services, Inc., or its successor, and "Duff &amp; Phelps" means Duff &amp; Phelps Credit Rating Company, or its successor.  </w:t>
      </w:r>
      <w:r>
        <w:rPr>
          <w:b/>
        </w:rPr>
        <w:t>[UNDER REVIEW]</w:t>
      </w:r>
    </w:p>
    <w:p>
      <w:pPr>
        <w:pStyle w:val="ArticleL2"/>
        <w:numPr>
          <w:ilvl w:val="1"/>
          <w:numId w:val="3"/>
        </w:numPr>
        <w:ind w:hanging="0" w:start="0"/>
        <w:rPr/>
      </w:pPr>
      <w:bookmarkStart w:id="65" w:name="__RefHeading___Toc489421243"/>
      <w:bookmarkEnd w:id="65"/>
      <w:r>
        <w:rPr/>
        <w:t>Time Is of Essence</w:t>
      </w:r>
    </w:p>
    <w:p>
      <w:pPr>
        <w:pStyle w:val="Normal"/>
        <w:spacing w:before="240" w:after="0"/>
        <w:rPr/>
      </w:pPr>
      <w:r>
        <w:rPr/>
        <w:t>Time is of the essence with regard to performance of this Agreement.</w:t>
      </w:r>
    </w:p>
    <w:p>
      <w:pPr>
        <w:pStyle w:val="ArticleL2"/>
        <w:numPr>
          <w:ilvl w:val="1"/>
          <w:numId w:val="3"/>
        </w:numPr>
        <w:ind w:hanging="0" w:start="0"/>
        <w:rPr/>
      </w:pPr>
      <w:bookmarkStart w:id="66" w:name="__RefHeading___Toc489421244"/>
      <w:bookmarkEnd w:id="66"/>
      <w:r>
        <w:rPr/>
        <w:t>Notices</w:t>
      </w:r>
    </w:p>
    <w:p>
      <w:pPr>
        <w:pStyle w:val="ArticleL3"/>
        <w:numPr>
          <w:ilvl w:val="2"/>
          <w:numId w:val="3"/>
        </w:numPr>
        <w:ind w:hanging="0" w:start="0"/>
        <w:rPr/>
      </w:pPr>
      <w:r>
        <w:rPr/>
        <w:t>Except as set forth otherwise below, any notices, demands, or requests required or authorized by this Agreement, or any other instrument or document required or authorized to be tendered or delivered by either Party, must be in writing and personally delivered or sent by certified mail, return receipt requested, postage prepaid to:</w:t>
      </w:r>
    </w:p>
    <w:p>
      <w:pPr>
        <w:pStyle w:val="ArticleL4"/>
        <w:numPr>
          <w:ilvl w:val="3"/>
          <w:numId w:val="3"/>
        </w:numPr>
        <w:ind w:hanging="0" w:start="0"/>
        <w:rPr/>
      </w:pPr>
      <w:r>
        <w:rPr/>
        <w:t>All operational notices (including notices of forced outages) must be in writing (including by facsimile) except that routine operational notices and communications and notices during an emergency or other unforeseen event may be made in person or by telephone, and sent to:</w:t>
      </w:r>
    </w:p>
    <w:p>
      <w:pPr>
        <w:pStyle w:val="BlockQuote"/>
        <w:tabs>
          <w:tab w:val="clear" w:pos="5760"/>
          <w:tab w:val="left" w:pos="5040" w:leader="none"/>
          <w:tab w:val="left" w:pos="5490" w:leader="none"/>
        </w:tabs>
        <w:rPr/>
      </w:pPr>
      <w:r>
        <w:rPr/>
        <w:t>If to Purchaser:</w:t>
        <w:tab/>
        <w:t>If to Seller:</w:t>
      </w:r>
    </w:p>
    <w:p>
      <w:pPr>
        <w:pStyle w:val="BlockQuote"/>
        <w:tabs>
          <w:tab w:val="left" w:pos="5040" w:leader="none"/>
          <w:tab w:val="left" w:pos="5490" w:leader="none"/>
          <w:tab w:val="left" w:pos="5670" w:leader="none"/>
          <w:tab w:val="left" w:pos="5760" w:leader="none"/>
        </w:tabs>
        <w:spacing w:before="0" w:after="0"/>
        <w:ind w:end="806"/>
        <w:rPr>
          <w:sz w:val="20"/>
        </w:rPr>
      </w:pPr>
      <w:r>
        <w:rPr>
          <w:sz w:val="20"/>
        </w:rPr>
      </w:r>
    </w:p>
    <w:p>
      <w:pPr>
        <w:pStyle w:val="BlockQuote"/>
        <w:tabs>
          <w:tab w:val="left" w:pos="5040" w:leader="none"/>
          <w:tab w:val="left" w:pos="5490" w:leader="none"/>
          <w:tab w:val="left" w:pos="5670" w:leader="none"/>
          <w:tab w:val="left" w:pos="5760" w:leader="none"/>
        </w:tabs>
        <w:spacing w:before="0" w:after="0"/>
        <w:ind w:end="806"/>
        <w:rPr/>
      </w:pPr>
      <w:r>
        <w:rPr/>
        <w:t>Enron Power Marketing Inc.</w:t>
        <w:tab/>
        <w:t>Indian Mesa Power Partners II L.P.</w:t>
        <w:br/>
      </w:r>
      <w:r>
        <w:rPr>
          <w:rPrChange w:id="0" w:author="EI" w:date="2000-08-01T15:09:00Z"/>
        </w:rPr>
        <w:t xml:space="preserve">1400 Smith Street </w:t>
      </w:r>
    </w:p>
    <w:p>
      <w:pPr>
        <w:pStyle w:val="BlockQuote"/>
        <w:tabs>
          <w:tab w:val="left" w:pos="5040" w:leader="none"/>
          <w:tab w:val="left" w:pos="5490" w:leader="none"/>
          <w:tab w:val="left" w:pos="5670" w:leader="none"/>
          <w:tab w:val="left" w:pos="5760" w:leader="none"/>
        </w:tabs>
        <w:spacing w:before="0" w:after="0"/>
        <w:ind w:end="806"/>
        <w:rPr>
          <w:del w:id="223" w:author="EI" w:date="2000-08-01T15:06:00Z"/>
        </w:rPr>
      </w:pPr>
      <w:r>
        <w:rPr>
          <w:rPrChange w:id="0" w:author="EI" w:date="2000-08-01T15:09:00Z"/>
        </w:rPr>
        <w:t>PO Box 4428</w:t>
        <w:tab/>
        <w:t>13000 Jameson Road</w:t>
      </w:r>
    </w:p>
    <w:p>
      <w:pPr>
        <w:pStyle w:val="BlockQuote"/>
        <w:widowControl/>
        <w:tabs>
          <w:tab w:val="left" w:pos="5040" w:leader="none"/>
          <w:tab w:val="left" w:pos="5490" w:leader="none"/>
          <w:tab w:val="left" w:pos="5670" w:leader="none"/>
          <w:tab w:val="left" w:pos="5760" w:leader="none"/>
        </w:tabs>
        <w:bidi w:val="0"/>
        <w:spacing w:before="0" w:after="0"/>
        <w:ind w:hanging="0" w:start="1440" w:end="806"/>
        <w:rPr>
          <w:del w:id="226" w:author="EI" w:date="2000-08-01T15:09:00Z"/>
        </w:rPr>
      </w:pPr>
      <w:r>
        <w:rPr>
          <w:rPrChange w:id="0" w:author="EI" w:date="2000-08-01T15:09:00Z"/>
        </w:rPr>
        <w:t xml:space="preserve">                        </w:t>
      </w:r>
      <w:r>
        <w:rPr>
          <w:rPrChange w:id="0" w:author="EI" w:date="2000-08-01T15:09:00Z"/>
        </w:rPr>
        <w:t>Houston, TX</w:t>
      </w:r>
      <w:r>
        <w:rPr/>
        <w:t xml:space="preserve"> 77002</w:t>
      </w:r>
    </w:p>
    <w:p>
      <w:pPr>
        <w:pStyle w:val="BlockQuote"/>
        <w:widowControl/>
        <w:tabs>
          <w:tab w:val="left" w:pos="5040" w:leader="none"/>
          <w:tab w:val="left" w:pos="5490" w:leader="none"/>
          <w:tab w:val="left" w:pos="5670" w:leader="none"/>
          <w:tab w:val="left" w:pos="5760" w:leader="none"/>
        </w:tabs>
        <w:bidi w:val="0"/>
        <w:spacing w:before="0" w:after="0"/>
        <w:ind w:hanging="0" w:start="1440" w:end="806"/>
        <w:rPr/>
      </w:pPr>
      <w:del w:id="227" w:author="EI" w:date="2000-08-01T15:09:00Z">
        <w:r>
          <w:rPr/>
          <w:delText xml:space="preserve"> </w:delText>
        </w:r>
      </w:del>
      <w:r>
        <w:rPr>
          <w:rPrChange w:id="0" w:author="EI" w:date="2000-08-01T15:09:00Z"/>
        </w:rPr>
        <w:t xml:space="preserve">Attn: Power Contract </w:t>
      </w:r>
    </w:p>
    <w:p>
      <w:pPr>
        <w:pStyle w:val="BlockQuote"/>
        <w:tabs>
          <w:tab w:val="left" w:pos="5040" w:leader="none"/>
          <w:tab w:val="left" w:pos="5490" w:leader="none"/>
          <w:tab w:val="left" w:pos="5670" w:leader="none"/>
          <w:tab w:val="left" w:pos="5760" w:leader="none"/>
        </w:tabs>
        <w:spacing w:before="0" w:after="0"/>
        <w:ind w:start="0" w:end="806"/>
        <w:rPr/>
      </w:pPr>
      <w:r>
        <w:rPr>
          <w:rPrChange w:id="0" w:author="EI" w:date="2000-08-01T15:09:00Z"/>
        </w:rPr>
        <w:t xml:space="preserve">                        </w:t>
      </w:r>
      <w:r>
        <w:rPr>
          <w:rPrChange w:id="0" w:author="EI" w:date="2000-08-01T15:09:00Z"/>
        </w:rPr>
        <w:t>Documentation Manager</w:t>
      </w:r>
      <w:r>
        <w:rPr>
          <w:b/>
        </w:rPr>
        <w:tab/>
      </w:r>
      <w:r>
        <w:rPr/>
        <w:t>Tehachapi, CA  93561</w:t>
      </w:r>
    </w:p>
    <w:p>
      <w:pPr>
        <w:pStyle w:val="BlockQuote"/>
        <w:tabs>
          <w:tab w:val="left" w:pos="5040" w:leader="none"/>
          <w:tab w:val="left" w:pos="5490" w:leader="none"/>
          <w:tab w:val="left" w:pos="5670" w:leader="none"/>
          <w:tab w:val="left" w:pos="5760" w:leader="none"/>
        </w:tabs>
        <w:spacing w:before="0" w:after="0"/>
        <w:ind w:end="270"/>
        <w:rPr/>
      </w:pPr>
      <w:r>
        <w:rPr/>
        <w:t xml:space="preserve">Telephone: </w:t>
      </w:r>
      <w:r>
        <w:rPr>
          <w:b/>
        </w:rPr>
        <w:t>(xxx) xxx-xxxx</w:t>
      </w:r>
    </w:p>
    <w:p>
      <w:pPr>
        <w:pStyle w:val="BlockQuote"/>
        <w:tabs>
          <w:tab w:val="left" w:pos="5040" w:leader="none"/>
          <w:tab w:val="left" w:pos="5490" w:leader="none"/>
          <w:tab w:val="left" w:pos="5670" w:leader="none"/>
          <w:tab w:val="left" w:pos="5760" w:leader="none"/>
        </w:tabs>
        <w:spacing w:before="0" w:after="0"/>
        <w:ind w:end="270"/>
        <w:rPr/>
      </w:pPr>
      <w:r>
        <w:rPr/>
        <w:t xml:space="preserve">Facsimile: </w:t>
      </w:r>
      <w:r>
        <w:rPr>
          <w:b/>
        </w:rPr>
        <w:t>(713) 646-2443</w:t>
      </w:r>
      <w:r>
        <w:rPr/>
        <w:tab/>
        <w:t>Attn:  Director. of Asset Management</w:t>
        <w:br/>
        <w:t xml:space="preserve"> </w:t>
        <w:tab/>
        <w:t xml:space="preserve">Tel: (661) 823-6425 </w:t>
        <w:br/>
        <w:tab/>
        <w:t>Facsimile: (661) 823-5015</w:t>
      </w:r>
    </w:p>
    <w:p>
      <w:pPr>
        <w:pStyle w:val="ArticleL4"/>
        <w:numPr>
          <w:ilvl w:val="3"/>
          <w:numId w:val="3"/>
        </w:numPr>
        <w:ind w:hanging="0" w:start="0"/>
        <w:rPr/>
      </w:pPr>
      <w:r>
        <w:rPr/>
        <w:t>Notices for statement and billing purposes (billing statements may be sent by regular mail) must be sent to:</w:t>
      </w:r>
    </w:p>
    <w:p>
      <w:pPr>
        <w:pStyle w:val="BlockQuote"/>
        <w:tabs>
          <w:tab w:val="left" w:pos="5130" w:leader="none"/>
          <w:tab w:val="left" w:pos="5760" w:leader="none"/>
        </w:tabs>
        <w:rPr/>
      </w:pPr>
      <w:r>
        <w:rPr/>
        <w:t>If to Purchaser:</w:t>
        <w:tab/>
        <w:t>If to Seller:</w:t>
      </w:r>
    </w:p>
    <w:p>
      <w:pPr>
        <w:pStyle w:val="BlockQuote"/>
        <w:tabs>
          <w:tab w:val="left" w:pos="5040" w:leader="none"/>
          <w:tab w:val="left" w:pos="5490" w:leader="none"/>
          <w:tab w:val="left" w:pos="5670" w:leader="none"/>
          <w:tab w:val="left" w:pos="5760" w:leader="none"/>
        </w:tabs>
        <w:spacing w:before="0" w:after="0"/>
        <w:ind w:end="806"/>
        <w:rPr/>
      </w:pPr>
      <w:r>
        <w:rPr/>
        <w:t>Enron Power Marketing Inc.</w:t>
        <w:tab/>
        <w:t>Indian Mesa Power Partners II L.P.</w:t>
        <w:br/>
        <w:t>1400 Smith Street (77002)</w:t>
      </w:r>
    </w:p>
    <w:p>
      <w:pPr>
        <w:pStyle w:val="BlockQuote"/>
        <w:tabs>
          <w:tab w:val="left" w:pos="5040" w:leader="none"/>
          <w:tab w:val="left" w:pos="5490" w:leader="none"/>
          <w:tab w:val="left" w:pos="5670" w:leader="none"/>
          <w:tab w:val="left" w:pos="5760" w:leader="none"/>
        </w:tabs>
        <w:spacing w:before="0" w:after="0"/>
        <w:ind w:end="806"/>
        <w:rPr/>
      </w:pPr>
      <w:r>
        <w:rPr/>
        <w:t>PO Box 4428</w:t>
      </w:r>
      <w:r>
        <w:rPr>
          <w:b/>
        </w:rPr>
        <w:tab/>
      </w:r>
      <w:r>
        <w:rPr/>
        <w:t>13000 Jameson Road</w:t>
      </w:r>
    </w:p>
    <w:p>
      <w:pPr>
        <w:pStyle w:val="BlockQuote"/>
        <w:tabs>
          <w:tab w:val="left" w:pos="5040" w:leader="none"/>
          <w:tab w:val="left" w:pos="5490" w:leader="none"/>
          <w:tab w:val="left" w:pos="5670" w:leader="none"/>
          <w:tab w:val="left" w:pos="5760" w:leader="none"/>
        </w:tabs>
        <w:spacing w:before="0" w:after="0"/>
        <w:ind w:end="806"/>
        <w:rPr/>
      </w:pPr>
      <w:r>
        <w:rPr/>
        <w:t>Houston, TX 77210-4428</w:t>
      </w:r>
      <w:r>
        <w:rPr>
          <w:b/>
        </w:rPr>
        <w:tab/>
      </w:r>
      <w:r>
        <w:rPr/>
        <w:t>Tehachapi, CA  93561</w:t>
      </w:r>
    </w:p>
    <w:p>
      <w:pPr>
        <w:pStyle w:val="BlockQuote"/>
        <w:tabs>
          <w:tab w:val="left" w:pos="5040" w:leader="none"/>
          <w:tab w:val="left" w:pos="5490" w:leader="none"/>
          <w:tab w:val="left" w:pos="5670" w:leader="none"/>
          <w:tab w:val="left" w:pos="5760" w:leader="none"/>
        </w:tabs>
        <w:spacing w:before="0" w:after="0"/>
        <w:ind w:end="270"/>
        <w:rPr/>
      </w:pPr>
      <w:r>
        <w:rPr/>
        <w:t xml:space="preserve">Attn: </w:t>
      </w:r>
      <w:r>
        <w:rPr>
          <w:rPrChange w:id="0" w:author="EI" w:date="2000-08-01T15:12:00Z"/>
        </w:rPr>
        <w:t>Power Contract</w:t>
      </w:r>
    </w:p>
    <w:p>
      <w:pPr>
        <w:pStyle w:val="BlockQuote"/>
        <w:tabs>
          <w:tab w:val="left" w:pos="5040" w:leader="none"/>
          <w:tab w:val="left" w:pos="5490" w:leader="none"/>
          <w:tab w:val="left" w:pos="5670" w:leader="none"/>
          <w:tab w:val="left" w:pos="5760" w:leader="none"/>
        </w:tabs>
        <w:spacing w:before="0" w:after="0"/>
        <w:ind w:end="270"/>
        <w:rPr/>
      </w:pPr>
      <w:r>
        <w:rPr>
          <w:rPrChange w:id="0" w:author="EI" w:date="2000-08-01T15:12:00Z"/>
        </w:rPr>
        <w:t>Settlement Manager</w:t>
      </w:r>
      <w:r>
        <w:rPr/>
        <w:tab/>
        <w:t>Attn:  Director. of Asset Management</w:t>
        <w:br/>
        <w:t xml:space="preserve">Telephone: </w:t>
      </w:r>
      <w:r>
        <w:rPr>
          <w:b/>
        </w:rPr>
        <w:t>(xxx) xxx-xxxx</w:t>
      </w:r>
      <w:r>
        <w:rPr/>
        <w:t xml:space="preserve"> </w:t>
        <w:tab/>
        <w:t xml:space="preserve">Tel: (661) 823-6425 </w:t>
        <w:br/>
        <w:t xml:space="preserve">Facsimile: </w:t>
      </w:r>
      <w:r>
        <w:rPr>
          <w:b/>
        </w:rPr>
        <w:t>(xxx) xxx-xxxx</w:t>
      </w:r>
      <w:r>
        <w:rPr/>
        <w:t xml:space="preserve"> </w:t>
        <w:tab/>
        <w:t>Facsimile: (661) 823-5015</w:t>
      </w:r>
    </w:p>
    <w:p>
      <w:pPr>
        <w:pStyle w:val="ArticleL4"/>
        <w:keepNext w:val="true"/>
        <w:numPr>
          <w:ilvl w:val="3"/>
          <w:numId w:val="3"/>
        </w:numPr>
        <w:ind w:hanging="0" w:start="0"/>
        <w:rPr/>
      </w:pPr>
      <w:r>
        <w:rPr/>
        <w:t>Information concerning electronic funds transfers:</w:t>
      </w:r>
    </w:p>
    <w:p>
      <w:pPr>
        <w:pStyle w:val="BlockQuote"/>
        <w:keepNext w:val="true"/>
        <w:tabs>
          <w:tab w:val="clear" w:pos="5760"/>
          <w:tab w:val="left" w:pos="5040" w:leader="none"/>
        </w:tabs>
        <w:rPr/>
      </w:pPr>
      <w:r>
        <w:rPr/>
        <w:t>If to Purchaser:</w:t>
        <w:tab/>
        <w:t>If to Seller:</w:t>
      </w:r>
    </w:p>
    <w:p>
      <w:pPr>
        <w:pStyle w:val="BlockQuote"/>
        <w:tabs>
          <w:tab w:val="clear" w:pos="5760"/>
          <w:tab w:val="left" w:pos="2160" w:leader="none"/>
          <w:tab w:val="left" w:pos="5040" w:leader="none"/>
        </w:tabs>
        <w:rPr>
          <w:b/>
        </w:rPr>
      </w:pPr>
      <w:r>
        <w:rPr>
          <w:b/>
        </w:rPr>
      </w:r>
    </w:p>
    <w:p>
      <w:pPr>
        <w:pStyle w:val="BlockQuote"/>
        <w:tabs>
          <w:tab w:val="clear" w:pos="5760"/>
          <w:tab w:val="left" w:pos="2160" w:leader="none"/>
          <w:tab w:val="left" w:pos="5040" w:leader="none"/>
        </w:tabs>
        <w:rPr/>
      </w:pPr>
      <w:r>
        <w:rPr>
          <w:rPrChange w:id="0" w:author="EI" w:date="2000-08-01T15:14:00Z"/>
        </w:rPr>
        <w:t xml:space="preserve">NationsBank of Texas </w:t>
      </w:r>
      <w:r>
        <w:rPr/>
        <w:t xml:space="preserve">–Dallas </w:t>
      </w:r>
    </w:p>
    <w:p>
      <w:pPr>
        <w:pStyle w:val="BlockQuote"/>
        <w:tabs>
          <w:tab w:val="clear" w:pos="5760"/>
          <w:tab w:val="left" w:pos="2160" w:leader="none"/>
          <w:tab w:val="left" w:pos="5040" w:leader="none"/>
        </w:tabs>
        <w:rPr/>
      </w:pPr>
      <w:r>
        <w:rPr/>
        <w:t>for Enron Power Marketing, Inc.</w:t>
        <w:rPrChange w:id="0" w:author="EI" w:date="2000-08-01T15:14:00Z"/>
      </w:r>
    </w:p>
    <w:p>
      <w:pPr>
        <w:pStyle w:val="BlockQuote"/>
        <w:tabs>
          <w:tab w:val="clear" w:pos="5760"/>
          <w:tab w:val="left" w:pos="2160" w:leader="none"/>
          <w:tab w:val="left" w:pos="5040" w:leader="none"/>
        </w:tabs>
        <w:ind w:start="0" w:end="1440"/>
        <w:rPr>
          <w:b/>
        </w:rPr>
      </w:pPr>
      <w:r>
        <w:rPr>
          <w:b/>
        </w:rPr>
        <w:tab/>
        <w:tab/>
        <w:t>[name of bank]</w:t>
      </w:r>
    </w:p>
    <w:p>
      <w:pPr>
        <w:pStyle w:val="BlockQuote"/>
        <w:tabs>
          <w:tab w:val="clear" w:pos="5760"/>
          <w:tab w:val="left" w:pos="2160" w:leader="none"/>
          <w:tab w:val="left" w:pos="5040" w:leader="none"/>
        </w:tabs>
        <w:spacing w:before="0" w:after="0"/>
        <w:rPr>
          <w:b/>
        </w:rPr>
      </w:pPr>
      <w:r>
        <w:rPr>
          <w:b/>
        </w:rPr>
        <w:tab/>
        <w:t xml:space="preserve">                                                [street address]</w:t>
      </w:r>
    </w:p>
    <w:p>
      <w:pPr>
        <w:pStyle w:val="BlockQuote"/>
        <w:tabs>
          <w:tab w:val="left" w:pos="2160" w:leader="none"/>
          <w:tab w:val="left" w:pos="5040" w:leader="none"/>
          <w:tab w:val="left" w:pos="5490" w:leader="none"/>
          <w:tab w:val="left" w:pos="5760" w:leader="none"/>
        </w:tabs>
        <w:spacing w:before="0" w:after="0"/>
        <w:rPr/>
      </w:pPr>
      <w:r>
        <w:rPr>
          <w:b/>
        </w:rPr>
        <w:tab/>
        <w:t xml:space="preserve">                                                [city]</w:t>
      </w:r>
      <w:r>
        <w:rPr/>
        <w:t xml:space="preserve">, </w:t>
      </w:r>
      <w:r>
        <w:rPr>
          <w:b/>
        </w:rPr>
        <w:t>[state]</w:t>
      </w:r>
      <w:r>
        <w:rPr/>
        <w:t xml:space="preserve"> </w:t>
      </w:r>
      <w:r>
        <w:rPr>
          <w:b/>
        </w:rPr>
        <w:t>[zip code]</w:t>
      </w:r>
      <w:r>
        <w:rPr/>
        <w:br/>
      </w:r>
      <w:r>
        <w:rPr>
          <w:rPrChange w:id="0" w:author="EI" w:date="2000-08-01T15:17:00Z"/>
        </w:rPr>
        <w:t>ABA Routing #111000012</w:t>
      </w:r>
      <w:r>
        <w:rPr>
          <w:b/>
        </w:rPr>
        <w:tab/>
        <w:t>[bank routing #]</w:t>
      </w:r>
      <w:r>
        <w:rPr/>
        <w:br/>
        <w:t>for credit to</w:t>
        <w:tab/>
        <w:t xml:space="preserve"> for credit to</w:t>
        <w:br/>
        <w:tab/>
        <w:t xml:space="preserve">Enron Power Marketing Inc. </w:t>
        <w:tab/>
        <w:tab/>
        <w:t>{Name of Seller]</w:t>
        <w:br/>
        <w:t xml:space="preserve">Account No. </w:t>
      </w:r>
      <w:r>
        <w:rPr>
          <w:b/>
        </w:rPr>
        <w:t>xxxxxxxx</w:t>
        <w:tab/>
      </w:r>
      <w:r>
        <w:rPr/>
        <w:t xml:space="preserve">Account No. </w:t>
      </w:r>
      <w:r>
        <w:rPr>
          <w:b/>
        </w:rPr>
        <w:t xml:space="preserve">xxxxxxxx </w:t>
      </w:r>
      <w:r>
        <w:rPr/>
        <w:br/>
        <w:tab/>
      </w:r>
    </w:p>
    <w:p>
      <w:pPr>
        <w:pStyle w:val="BlockQuote"/>
        <w:tabs>
          <w:tab w:val="left" w:pos="2160" w:leader="none"/>
          <w:tab w:val="left" w:pos="5040" w:leader="none"/>
          <w:tab w:val="left" w:pos="5130" w:leader="none"/>
          <w:tab w:val="left" w:pos="5760" w:leader="none"/>
        </w:tabs>
        <w:spacing w:before="0" w:after="0"/>
        <w:rPr/>
      </w:pPr>
      <w:r>
        <w:rPr/>
        <w:t xml:space="preserve">All other notices, including administrative notices </w:t>
      </w:r>
      <w:r>
        <w:rPr>
          <w:u w:val="single"/>
        </w:rPr>
        <w:t>(with notices to Lender as required in Section 9.17)</w:t>
      </w:r>
      <w:r>
        <w:rPr/>
        <w:t>, must be sent to:</w:t>
      </w:r>
    </w:p>
    <w:p>
      <w:pPr>
        <w:pStyle w:val="BlockQuote"/>
        <w:tabs>
          <w:tab w:val="clear" w:pos="5760"/>
          <w:tab w:val="left" w:pos="5040" w:leader="none"/>
          <w:tab w:val="left" w:pos="5490" w:leader="none"/>
        </w:tabs>
        <w:rPr>
          <w:b/>
          <w:u w:val="double"/>
        </w:rPr>
      </w:pPr>
      <w:r>
        <w:rPr>
          <w:b/>
        </w:rPr>
        <w:t>[title]</w:t>
        <w:tab/>
        <w:t>[title]</w:t>
      </w:r>
      <w:r>
        <w:rPr/>
        <w:br/>
        <w:t>Enron Power Marketing Inc.</w:t>
        <w:tab/>
      </w:r>
      <w:r>
        <w:rPr>
          <w:b/>
        </w:rPr>
        <w:t>[Name of Seller]</w:t>
      </w:r>
      <w:r>
        <w:rPr/>
        <w:br/>
      </w:r>
      <w:r>
        <w:rPr>
          <w:b/>
        </w:rPr>
        <w:t>[street address]</w:t>
        <w:tab/>
        <w:t>[street address]</w:t>
      </w:r>
      <w:r>
        <w:rPr/>
        <w:br/>
      </w:r>
      <w:r>
        <w:rPr>
          <w:b/>
        </w:rPr>
        <w:t>[city] [state] [zip code]</w:t>
        <w:tab/>
        <w:t>[city] [state] [zip code]</w:t>
      </w:r>
      <w:r>
        <w:rPr/>
        <w:br/>
        <w:t xml:space="preserve">Telephone: </w:t>
      </w:r>
      <w:r>
        <w:rPr>
          <w:b/>
        </w:rPr>
        <w:t>(xxx) xxx-xxxx</w:t>
      </w:r>
      <w:r>
        <w:rPr/>
        <w:t xml:space="preserve"> </w:t>
        <w:tab/>
        <w:t xml:space="preserve">Tel: </w:t>
      </w:r>
      <w:r>
        <w:rPr>
          <w:b/>
        </w:rPr>
        <w:t>(xxx) xxx-xxxx</w:t>
      </w:r>
      <w:r>
        <w:rPr/>
        <w:br/>
        <w:t xml:space="preserve">Facsimile: </w:t>
      </w:r>
      <w:r>
        <w:rPr>
          <w:b/>
        </w:rPr>
        <w:t>(xxx) xxx-xxxx</w:t>
      </w:r>
      <w:r>
        <w:rPr/>
        <w:t xml:space="preserve"> </w:t>
        <w:tab/>
        <w:t xml:space="preserve">Facsimile: </w:t>
      </w:r>
      <w:r>
        <w:rPr>
          <w:b/>
        </w:rPr>
        <w:t>(xxx) xxx-xxxx</w:t>
      </w:r>
    </w:p>
    <w:p>
      <w:pPr>
        <w:pStyle w:val="BlockQuote"/>
        <w:tabs>
          <w:tab w:val="clear" w:pos="5760"/>
          <w:tab w:val="left" w:pos="2160" w:leader="none"/>
          <w:tab w:val="left" w:pos="5040" w:leader="none"/>
        </w:tabs>
        <w:rPr/>
      </w:pPr>
      <w:r>
        <w:rPr>
          <w:strike/>
          <w:u w:val="single"/>
        </w:rPr>
        <w:tab/>
        <w:tab/>
      </w:r>
      <w:r>
        <w:rPr>
          <w:u w:val="single"/>
        </w:rPr>
        <w:t>[name of bank]</w:t>
      </w:r>
    </w:p>
    <w:p>
      <w:pPr>
        <w:pStyle w:val="BlockQuote"/>
        <w:tabs>
          <w:tab w:val="clear" w:pos="5760"/>
          <w:tab w:val="left" w:pos="2160" w:leader="none"/>
          <w:tab w:val="left" w:pos="5040" w:leader="none"/>
        </w:tabs>
        <w:rPr>
          <w:u w:val="single"/>
        </w:rPr>
      </w:pPr>
      <w:r>
        <w:rPr>
          <w:u w:val="single"/>
        </w:rPr>
        <w:tab/>
        <w:tab/>
        <w:t>[city], [state] [zip code]</w:t>
      </w:r>
    </w:p>
    <w:p>
      <w:pPr>
        <w:pStyle w:val="BlockQuote"/>
        <w:tabs>
          <w:tab w:val="clear" w:pos="5760"/>
          <w:tab w:val="left" w:pos="2160" w:leader="none"/>
          <w:tab w:val="left" w:pos="5040" w:leader="none"/>
          <w:tab w:val="left" w:pos="5490" w:leader="none"/>
        </w:tabs>
        <w:rPr/>
      </w:pPr>
      <w:r>
        <w:rPr>
          <w:u w:val="single"/>
        </w:rPr>
        <w:tab/>
        <w:tab/>
        <w:t>[</w:t>
        <w:tab/>
        <w:t>Ref.:Name of Seller]</w:t>
        <w:br/>
      </w:r>
      <w:r>
        <w:rPr/>
        <w:br/>
      </w:r>
    </w:p>
    <w:p>
      <w:pPr>
        <w:pStyle w:val="ArticleL3"/>
        <w:numPr>
          <w:ilvl w:val="2"/>
          <w:numId w:val="3"/>
        </w:numPr>
        <w:ind w:hanging="0" w:start="0"/>
        <w:rPr/>
      </w:pPr>
      <w:r>
        <w:rPr/>
        <w:t>The person to receive notices or the address for such notices may be changed by written notice from one Party to the other Party under this Section 9.05.  Any written notice, demand, or request given under this Section 9.05 is deemed to be given upon the earlier of (i) actual receipt, or (ii) deposit in the U.S. mail, properly addressed, and with adequate postage.  If a Party is required to take some action within a certain time, which period is begun by a notice given by mail, then the time is extended by three (3) Business Days.</w:t>
      </w:r>
    </w:p>
    <w:p>
      <w:pPr>
        <w:pStyle w:val="ArticleL2"/>
        <w:numPr>
          <w:ilvl w:val="1"/>
          <w:numId w:val="3"/>
        </w:numPr>
        <w:ind w:hanging="0" w:start="0"/>
        <w:rPr/>
      </w:pPr>
      <w:bookmarkStart w:id="67" w:name="__RefHeading___Toc489421245"/>
      <w:r>
        <w:rPr/>
        <w:t>No Rights of Third Parties</w:t>
      </w:r>
      <w:bookmarkEnd w:id="67"/>
      <w:r>
        <w:rPr/>
        <w:t xml:space="preserve"> </w:t>
      </w:r>
    </w:p>
    <w:p>
      <w:pPr>
        <w:pStyle w:val="FlushLeft"/>
        <w:rPr/>
      </w:pPr>
      <w:r>
        <w:rPr/>
        <w:t>This Agreement is intended only for the Parties' benefit.  Except with respect to Lender as</w:t>
      </w:r>
      <w:ins w:id="235" w:author="EI" w:date="2000-08-01T13:38:00Z">
        <w:r>
          <w:rPr/>
          <w:t xml:space="preserve"> </w:t>
        </w:r>
      </w:ins>
      <w:r>
        <w:rPr/>
        <w:t>consistent  with those specific provisions of Section 9.17 hereof,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 to indemnify and hold the other party harmless with respect to any claims made upon or against</w:t>
      </w:r>
      <w:ins w:id="236" w:author="EI" w:date="2000-08-01T13:44:00Z">
        <w:r>
          <w:rPr/>
          <w:t xml:space="preserve"> </w:t>
        </w:r>
      </w:ins>
      <w:r>
        <w:rPr/>
        <w:t>such party in contravention of this Section.</w:t>
      </w:r>
    </w:p>
    <w:p>
      <w:pPr>
        <w:pStyle w:val="ArticleL2"/>
        <w:numPr>
          <w:ilvl w:val="1"/>
          <w:numId w:val="3"/>
        </w:numPr>
        <w:ind w:hanging="0" w:start="0"/>
        <w:rPr/>
      </w:pPr>
      <w:bookmarkStart w:id="68" w:name="__RefHeading___Toc489421246"/>
      <w:r>
        <w:rPr/>
        <w:t>Subject to Applicable Laws</w:t>
      </w:r>
      <w:bookmarkEnd w:id="68"/>
      <w:r>
        <w:rPr/>
        <w:t xml:space="preserve"> </w:t>
      </w:r>
    </w:p>
    <w:p>
      <w:pPr>
        <w:pStyle w:val="FlushLeft"/>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numPr>
          <w:ilvl w:val="1"/>
          <w:numId w:val="3"/>
        </w:numPr>
        <w:ind w:hanging="0" w:start="0"/>
        <w:rPr/>
      </w:pPr>
      <w:bookmarkStart w:id="69" w:name="__RefHeading___Toc489421247"/>
      <w:r>
        <w:rPr/>
        <w:t>No Special Relationship</w:t>
      </w:r>
      <w:bookmarkEnd w:id="69"/>
      <w:r>
        <w:rPr/>
        <w:t xml:space="preserve"> </w:t>
      </w:r>
    </w:p>
    <w:p>
      <w:pPr>
        <w:pStyle w:val="FlushLeft"/>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numPr>
          <w:ilvl w:val="1"/>
          <w:numId w:val="3"/>
        </w:numPr>
        <w:ind w:hanging="0" w:start="0"/>
        <w:rPr/>
      </w:pPr>
      <w:bookmarkStart w:id="70" w:name="__RefHeading___Toc489421248"/>
      <w:r>
        <w:rPr/>
        <w:t>Amendment</w:t>
      </w:r>
      <w:bookmarkEnd w:id="70"/>
      <w:r>
        <w:rPr/>
        <w:t xml:space="preserve"> </w:t>
      </w:r>
    </w:p>
    <w:p>
      <w:pPr>
        <w:pStyle w:val="FlushLeft"/>
        <w:rPr/>
      </w:pPr>
      <w:r>
        <w:rPr/>
        <w:t>This Agreement may be amended any time, but only by a written agreement signed by both Parties to this Agreement, subject to the provisions of Section 9.17.</w:t>
      </w:r>
    </w:p>
    <w:p>
      <w:pPr>
        <w:pStyle w:val="ArticleL2"/>
        <w:numPr>
          <w:ilvl w:val="1"/>
          <w:numId w:val="3"/>
        </w:numPr>
        <w:ind w:hanging="0" w:start="0"/>
        <w:rPr/>
      </w:pPr>
      <w:bookmarkStart w:id="71" w:name="__RefHeading___Toc489421249"/>
      <w:r>
        <w:rPr/>
        <w:t>No Waiver</w:t>
      </w:r>
      <w:bookmarkEnd w:id="71"/>
      <w:r>
        <w:rPr/>
        <w:t xml:space="preserve"> </w:t>
      </w:r>
    </w:p>
    <w:p>
      <w:pPr>
        <w:pStyle w:val="FlushLeft"/>
        <w:rPr/>
      </w:pPr>
      <w:r>
        <w:rPr/>
        <w:t>The waiver of a breach of any provision of this Agreement does not waive any other breach of that provision or of any other provision.</w:t>
      </w:r>
    </w:p>
    <w:p>
      <w:pPr>
        <w:pStyle w:val="ArticleL2"/>
        <w:numPr>
          <w:ilvl w:val="1"/>
          <w:numId w:val="3"/>
        </w:numPr>
        <w:ind w:hanging="0" w:start="0"/>
        <w:rPr/>
      </w:pPr>
      <w:bookmarkStart w:id="72" w:name="__RefHeading___Toc489421250"/>
      <w:r>
        <w:rPr/>
        <w:t>Captions</w:t>
      </w:r>
      <w:bookmarkEnd w:id="72"/>
      <w:r>
        <w:rPr/>
        <w:t xml:space="preserve"> </w:t>
      </w:r>
    </w:p>
    <w:p>
      <w:pPr>
        <w:pStyle w:val="FlushLeft"/>
        <w:rPr/>
      </w:pPr>
      <w:r>
        <w:rPr/>
        <w:t>The captions of the various articles and sections of this Agreement are for convenience and reference only and do not limit or define any terms and provisions of this Agreement.</w:t>
      </w:r>
    </w:p>
    <w:p>
      <w:pPr>
        <w:pStyle w:val="ArticleL2"/>
        <w:numPr>
          <w:ilvl w:val="1"/>
          <w:numId w:val="3"/>
        </w:numPr>
        <w:ind w:hanging="0" w:start="0"/>
        <w:rPr/>
      </w:pPr>
      <w:bookmarkStart w:id="73" w:name="__RefHeading___Toc489421251"/>
      <w:r>
        <w:rPr/>
        <w:t>Complete Agreement</w:t>
      </w:r>
      <w:bookmarkEnd w:id="73"/>
      <w:r>
        <w:rPr/>
        <w:t xml:space="preserve"> </w:t>
      </w:r>
    </w:p>
    <w:p>
      <w:pPr>
        <w:pStyle w:val="Normal"/>
        <w:widowControl w:val="false"/>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numPr>
          <w:ilvl w:val="1"/>
          <w:numId w:val="3"/>
        </w:numPr>
        <w:ind w:hanging="0" w:start="0"/>
        <w:rPr/>
      </w:pPr>
      <w:bookmarkStart w:id="74" w:name="__RefHeading___Toc489421252"/>
      <w:bookmarkEnd w:id="74"/>
      <w:r>
        <w:rPr/>
        <w:t>Governing Law, Dispute Resolution</w:t>
      </w:r>
    </w:p>
    <w:p>
      <w:pPr>
        <w:pStyle w:val="FlushLeft"/>
        <w:rPr/>
      </w:pPr>
      <w:r>
        <w:rPr/>
        <w:t>This Agreement shall be governed by, construed and enforced in accordance with Texas law.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numPr>
          <w:ilvl w:val="1"/>
          <w:numId w:val="3"/>
        </w:numPr>
        <w:ind w:hanging="0" w:start="0"/>
        <w:rPr/>
      </w:pPr>
      <w:bookmarkStart w:id="75" w:name="__RefHeading___Toc489421253"/>
      <w:r>
        <w:rPr/>
        <w:t>Severability</w:t>
      </w:r>
      <w:bookmarkEnd w:id="75"/>
      <w:r>
        <w:rPr/>
        <w:t xml:space="preserve"> </w:t>
      </w:r>
    </w:p>
    <w:p>
      <w:pPr>
        <w:pStyle w:val="FlushLeft"/>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numPr>
          <w:ilvl w:val="1"/>
          <w:numId w:val="3"/>
        </w:numPr>
        <w:ind w:hanging="0" w:start="0"/>
        <w:rPr/>
      </w:pPr>
      <w:bookmarkStart w:id="76" w:name="__RefHeading___Toc489421254"/>
      <w:r>
        <w:rPr/>
        <w:t>Exhibits</w:t>
      </w:r>
      <w:bookmarkEnd w:id="76"/>
      <w:r>
        <w:rPr/>
        <w:t xml:space="preserve"> </w:t>
      </w:r>
    </w:p>
    <w:p>
      <w:pPr>
        <w:pStyle w:val="FlushLeft"/>
        <w:rPr/>
      </w:pPr>
      <w:r>
        <w:rPr/>
        <w:t>The Exhibits attached to this Agreement and listed in the Table of Contents are incorporated in this Agreement and made a part of this Agreement as if repeated verbatim in this Agreement.</w:t>
      </w:r>
    </w:p>
    <w:p>
      <w:pPr>
        <w:pStyle w:val="ArticleL2"/>
        <w:numPr>
          <w:ilvl w:val="1"/>
          <w:numId w:val="3"/>
        </w:numPr>
        <w:ind w:hanging="0" w:start="0"/>
        <w:rPr/>
      </w:pPr>
      <w:bookmarkStart w:id="77" w:name="__RefHeading___Toc489421255"/>
      <w:r>
        <w:rPr/>
        <w:t>Construction</w:t>
      </w:r>
      <w:bookmarkEnd w:id="77"/>
      <w:r>
        <w:rPr/>
        <w:t xml:space="preserve"> </w:t>
      </w:r>
    </w:p>
    <w:p>
      <w:pPr>
        <w:pStyle w:val="FlushLeft"/>
        <w:rPr/>
      </w:pPr>
      <w:r>
        <w:rPr/>
        <w:t>In this Agreement, the following rules of construction apply, unless expressly provided otherwise or unless the context clearly requires otherwise:</w:t>
      </w:r>
    </w:p>
    <w:p>
      <w:pPr>
        <w:pStyle w:val="ArticleL3"/>
        <w:numPr>
          <w:ilvl w:val="2"/>
          <w:numId w:val="3"/>
        </w:numPr>
        <w:ind w:hanging="0" w:start="0"/>
        <w:rPr/>
      </w:pPr>
      <w:r>
        <w:rPr/>
        <w:t>The singular includes the plural, and the plural includes the singular.  The present tense includes the future tense, and the future tense includes the present tense.  Words importing any gender include the other gender.</w:t>
      </w:r>
    </w:p>
    <w:p>
      <w:pPr>
        <w:pStyle w:val="ArticleL3"/>
        <w:numPr>
          <w:ilvl w:val="2"/>
          <w:numId w:val="3"/>
        </w:numPr>
        <w:ind w:hanging="0" w:start="0"/>
        <w:rPr/>
      </w:pPr>
      <w:r>
        <w:rPr/>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ArticleL3"/>
        <w:numPr>
          <w:ilvl w:val="2"/>
          <w:numId w:val="3"/>
        </w:numPr>
        <w:ind w:hanging="0" w:start="0"/>
        <w:rPr/>
      </w:pPr>
      <w:r>
        <w:rPr/>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numPr>
          <w:ilvl w:val="1"/>
          <w:numId w:val="3"/>
        </w:numPr>
        <w:ind w:hanging="0" w:start="0"/>
        <w:rPr/>
      </w:pPr>
      <w:bookmarkStart w:id="78" w:name="__RefHeading___Toc489421256"/>
      <w:bookmarkEnd w:id="78"/>
      <w:r>
        <w:rPr/>
        <w:t>Lender Protection Provisions</w:t>
      </w:r>
    </w:p>
    <w:p>
      <w:pPr>
        <w:pStyle w:val="Normal"/>
        <w:spacing w:before="240" w:after="0"/>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(ii) the Parties will not </w:t>
      </w:r>
      <w:del w:id="237" w:author="EI" w:date="2000-08-01T14:15:00Z">
        <w:r>
          <w:rPr/>
          <w:delText xml:space="preserve">materially </w:delText>
        </w:r>
      </w:del>
      <w:ins w:id="238" w:author="EI" w:date="2000-08-01T14:15:00Z">
        <w:r>
          <w:rPr/>
          <w:t xml:space="preserve">without the prior written consent of the Lender,  </w:t>
        </w:r>
      </w:ins>
      <w:r>
        <w:rPr/>
        <w:t>modify this Agreement in a manner adversely affecting</w:t>
      </w:r>
      <w:ins w:id="239" w:author="EI" w:date="2000-08-01T14:15:00Z">
        <w:r>
          <w:rPr/>
          <w:t xml:space="preserve">, as to the Seller, </w:t>
        </w:r>
      </w:ins>
      <w:r>
        <w:rPr/>
        <w:t xml:space="preserve"> the economics of this Agreement</w:t>
      </w:r>
      <w:ins w:id="240" w:author="EI" w:date="2000-08-01T14:16:00Z">
        <w:r>
          <w:rPr/>
          <w:t xml:space="preserve"> </w:t>
        </w:r>
      </w:ins>
      <w:del w:id="241" w:author="EI" w:date="2000-08-01T14:18:00Z">
        <w:r>
          <w:rPr/>
          <w:delText xml:space="preserve"> as to Seller</w:delText>
        </w:r>
      </w:del>
      <w:r>
        <w:rPr/>
        <w:t xml:space="preserve">, including but not limited to the revenue stream under this Agreement to Seller, </w:t>
      </w:r>
      <w:ins w:id="242" w:author="EI" w:date="2000-08-01T14:19:00Z">
        <w:r>
          <w:rPr/>
          <w:t>the payment terms, the regulatory compliance obligations of the parties, the fault and termination provisions, the security obligation, the term of the Agreement, and the calculation and payment of any deficiency or termination payments ,</w:t>
        </w:r>
      </w:ins>
      <w:del w:id="243" w:author="EI" w:date="2000-08-01T14:20:00Z">
        <w:r>
          <w:rPr/>
          <w:delText xml:space="preserve">without the prior written consent of the Lender; </w:delText>
        </w:r>
      </w:del>
      <w:r>
        <w:rPr/>
        <w:t xml:space="preserve">(iii)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Section 5.03 of this Agreement; </w:t>
      </w:r>
      <w:r>
        <w:rPr>
          <w:u w:val="single"/>
        </w:rPr>
        <w:t>provided</w:t>
      </w:r>
      <w:r>
        <w:rPr/>
        <w:t xml:space="preserve">, </w:t>
      </w:r>
      <w:r>
        <w:rPr>
          <w:u w:val="single"/>
        </w:rPr>
        <w:t>however</w:t>
      </w:r>
      <w:r>
        <w:rPr/>
        <w:t xml:space="preserve">, that if Lender must foreclose on or otherwise take possession of Seller's property, the cure period set forth under Section 5.03 shall not begin until such foreclosure on or taking possession of Seller's property is completed, provided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79" w:name="t"/>
      <w:bookmarkEnd w:id="79"/>
      <w:r>
        <w:rPr/>
        <w:t>Purchaser shall have no obligation to make payments under this Agreement during the period that such cure period is being tolled and but shall be forestalled from terminating this Agreement during such period; (v) in case of termination of this Agreement as a result of any default or upon bankruptcy of Seller,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(vi) Purchaser will from time to time enter into agreements up to two times per Contract Year with any such Lender providing that Purchaser shall recognize the rights of the Lender hereunder upon foreclosure of its security interest so long as Lender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two times per Contract Year, execute a written statement certifying to the extent validly certifiable that this Agreement is unmodified and in full force and effect (or modified and stating the modification) and that no defaults exist (or that defaults exist and the nature of such defaults).</w:t>
      </w:r>
    </w:p>
    <w:p>
      <w:pPr>
        <w:pStyle w:val="ArticleL2"/>
        <w:numPr>
          <w:ilvl w:val="1"/>
          <w:numId w:val="3"/>
        </w:numPr>
        <w:ind w:hanging="0" w:start="0"/>
        <w:rPr/>
      </w:pPr>
      <w:bookmarkStart w:id="80" w:name="__RefHeading___Toc489421257"/>
      <w:r>
        <w:rPr/>
        <w:t>Delivery of Copy of Agreement</w:t>
      </w:r>
      <w:bookmarkEnd w:id="80"/>
      <w:r>
        <w:rPr/>
        <w:t xml:space="preserve"> </w:t>
      </w:r>
    </w:p>
    <w:p>
      <w:pPr>
        <w:pStyle w:val="FlushLeft"/>
        <w:rPr/>
      </w:pPr>
      <w:r>
        <w:rPr/>
        <w:t>Purchaser has delivered a copy of this Agreement to Seller for its review; that delivery does not constitute an offer to Seller.  This Agreement is not effective until a copy executed by Seller is delivered to and executed by Purchaser.</w:t>
      </w:r>
    </w:p>
    <w:p>
      <w:pPr>
        <w:pStyle w:val="BodyText"/>
        <w:spacing w:before="0" w:after="0"/>
        <w:jc w:val="both"/>
        <w:rPr/>
      </w:pPr>
      <w:r>
        <w:rPr/>
      </w:r>
    </w:p>
    <w:p>
      <w:pPr>
        <w:pStyle w:val="BodyText"/>
        <w:spacing w:before="0" w:after="0"/>
        <w:ind w:firstLine="720" w:end="0"/>
        <w:jc w:val="both"/>
        <w:rPr/>
      </w:pPr>
      <w:r>
        <w:rPr/>
        <w:t>IN WITNESS WHEREOF, each of the undersigned Parties has caused this Agreement to be duly executed and delivered as of the date first above written.</w:t>
      </w:r>
    </w:p>
    <w:p>
      <w:pPr>
        <w:pStyle w:val="BodyTextContinued"/>
        <w:ind w:start="4320" w:end="0"/>
        <w:rPr>
          <w:b/>
        </w:rPr>
      </w:pPr>
      <w:r>
        <w:rPr>
          <w:b/>
        </w:rPr>
        <w:t>Indian Mesa Power Partners II L.P.,</w:t>
      </w:r>
    </w:p>
    <w:p>
      <w:pPr>
        <w:pStyle w:val="BodyText"/>
        <w:spacing w:before="0" w:after="0"/>
        <w:ind w:hanging="0" w:start="4320" w:end="0"/>
        <w:rPr/>
      </w:pPr>
      <w:r>
        <w:rPr/>
        <w:t>a Delaware limited partnership</w:t>
      </w:r>
    </w:p>
    <w:p>
      <w:pPr>
        <w:pStyle w:val="BodyTextContinued"/>
        <w:tabs>
          <w:tab w:val="clear" w:pos="5040"/>
          <w:tab w:val="left" w:pos="540" w:leader="none"/>
          <w:tab w:val="left" w:pos="4320" w:leader="none"/>
          <w:tab w:val="left" w:pos="4860" w:leader="none"/>
          <w:tab w:val="left" w:pos="5580" w:leader="none"/>
          <w:tab w:val="left" w:pos="9360" w:leader="none"/>
        </w:tabs>
        <w:ind w:start="4320" w:end="0"/>
        <w:rPr/>
      </w:pPr>
      <w:r>
        <w:rPr/>
        <w:t>By:</w:t>
        <w:tab/>
        <w:t>Enron Wind Indian Mesa II LLC</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ab/>
        <w:t>By:  ________________________</w:t>
      </w:r>
    </w:p>
    <w:p>
      <w:pPr>
        <w:pStyle w:val="BodyText"/>
        <w:tabs>
          <w:tab w:val="clear" w:pos="720"/>
          <w:tab w:val="left" w:pos="540" w:leader="none"/>
          <w:tab w:val="left" w:pos="5310" w:leader="none"/>
          <w:tab w:val="left" w:pos="5400" w:leader="none"/>
        </w:tabs>
        <w:spacing w:before="0" w:after="0"/>
        <w:ind w:hanging="0" w:start="4320" w:end="0"/>
        <w:rPr/>
      </w:pPr>
      <w:r>
        <w:rPr/>
        <w:tab/>
        <w:t>Name:</w:t>
      </w:r>
    </w:p>
    <w:p>
      <w:pPr>
        <w:pStyle w:val="BodyText"/>
        <w:tabs>
          <w:tab w:val="clear" w:pos="720"/>
          <w:tab w:val="left" w:pos="540" w:leader="none"/>
          <w:tab w:val="left" w:pos="5310" w:leader="none"/>
          <w:tab w:val="left" w:pos="5400" w:leader="none"/>
        </w:tabs>
        <w:spacing w:before="0" w:after="0"/>
        <w:ind w:hanging="0" w:start="4320" w:end="0"/>
        <w:rPr/>
      </w:pPr>
      <w:r>
        <w:rPr/>
        <w:tab/>
        <w:t>Title:</w:t>
      </w:r>
    </w:p>
    <w:p>
      <w:pPr>
        <w:pStyle w:val="BodyText"/>
        <w:tabs>
          <w:tab w:val="clear" w:pos="720"/>
          <w:tab w:val="left" w:pos="540" w:leader="none"/>
          <w:tab w:val="left" w:pos="5310" w:leader="none"/>
          <w:tab w:val="left" w:pos="5400" w:leader="none"/>
        </w:tabs>
        <w:spacing w:before="0" w:after="0"/>
        <w:ind w:hanging="0" w:start="4320" w:end="0"/>
        <w:rPr/>
      </w:pPr>
      <w:r>
        <w:rPr/>
      </w:r>
    </w:p>
    <w:p>
      <w:pPr>
        <w:pStyle w:val="BodyTextContinued"/>
        <w:ind w:start="4320" w:end="0"/>
        <w:rPr>
          <w:b/>
        </w:rPr>
      </w:pPr>
      <w:r>
        <w:rPr>
          <w:b/>
        </w:rPr>
        <w:t>Enron Power Marketing, Inc.,</w:t>
      </w:r>
    </w:p>
    <w:p>
      <w:pPr>
        <w:pStyle w:val="BodyText"/>
        <w:spacing w:before="0" w:after="0"/>
        <w:ind w:hanging="0" w:start="4320" w:end="0"/>
        <w:rPr/>
      </w:pPr>
      <w:r>
        <w:rPr/>
        <w:t>a ___________ corporation</w:t>
      </w:r>
    </w:p>
    <w:p>
      <w:pPr>
        <w:pStyle w:val="BodyText"/>
        <w:spacing w:before="0" w:after="0"/>
        <w:ind w:hanging="0" w:start="4320" w:end="0"/>
        <w:rPr/>
      </w:pPr>
      <w:r>
        <w:rPr/>
      </w:r>
    </w:p>
    <w:p>
      <w:pPr>
        <w:pStyle w:val="BodyText"/>
        <w:spacing w:before="0" w:after="0"/>
        <w:ind w:hanging="0" w:start="4320" w:end="0"/>
        <w:rPr/>
      </w:pPr>
      <w:r>
        <w:rPr/>
      </w:r>
    </w:p>
    <w:p>
      <w:pPr>
        <w:pStyle w:val="BodyText"/>
        <w:spacing w:before="0" w:after="0"/>
        <w:ind w:hanging="0" w:start="4320" w:end="0"/>
        <w:rPr/>
      </w:pPr>
      <w:r>
        <w:rPr/>
      </w:r>
    </w:p>
    <w:p>
      <w:pPr>
        <w:pStyle w:val="BodyText"/>
        <w:tabs>
          <w:tab w:val="clear" w:pos="720"/>
          <w:tab w:val="left" w:pos="540" w:leader="none"/>
          <w:tab w:val="left" w:pos="4860" w:leader="none"/>
        </w:tabs>
        <w:spacing w:before="0" w:after="0"/>
        <w:ind w:hanging="0" w:start="4320" w:end="0"/>
        <w:rPr/>
      </w:pPr>
      <w:r>
        <w:rPr/>
        <w:t>By:</w:t>
        <w:tab/>
        <w:t>________________________</w:t>
      </w:r>
    </w:p>
    <w:p>
      <w:pPr>
        <w:pStyle w:val="BodyText"/>
        <w:tabs>
          <w:tab w:val="clear" w:pos="720"/>
          <w:tab w:val="left" w:pos="540" w:leader="none"/>
          <w:tab w:val="left" w:pos="4860" w:leader="none"/>
          <w:tab w:val="left" w:pos="4950" w:leader="none"/>
          <w:tab w:val="left" w:pos="5400" w:leader="none"/>
        </w:tabs>
        <w:spacing w:before="0" w:after="0"/>
        <w:ind w:hanging="0" w:start="4320" w:end="0"/>
        <w:rPr/>
      </w:pPr>
      <w:r>
        <w:rPr/>
        <w:tab/>
        <w:t>Name: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tabs>
          <w:tab w:val="clear" w:pos="720"/>
          <w:tab w:val="left" w:pos="540" w:leader="none"/>
          <w:tab w:val="left" w:pos="4860" w:leader="none"/>
          <w:tab w:val="left" w:pos="5400" w:leader="none"/>
        </w:tabs>
        <w:spacing w:before="0" w:after="0"/>
        <w:ind w:hanging="0" w:start="4320" w:end="0"/>
        <w:rPr/>
      </w:pPr>
      <w:r>
        <w:rPr/>
        <w:tab/>
        <w:t>Title:</w:t>
      </w:r>
    </w:p>
    <w:p>
      <w:pPr>
        <w:pStyle w:val="CenteredBold"/>
        <w:rPr/>
      </w:pPr>
      <w:r>
        <w:rPr/>
        <w:t>TABLE OF CONTENTS</w:t>
      </w:r>
    </w:p>
    <w:p>
      <w:pPr>
        <w:pStyle w:val="FlushRight"/>
        <w:rPr/>
      </w:pPr>
      <w:r>
        <w:rPr/>
        <w:t>Page</w:t>
      </w:r>
    </w:p>
    <w:sdt>
      <w:sdtPr>
        <w:docPartObj>
          <w:docPartGallery w:val="Table of Contents"/>
          <w:docPartUnique w:val="true"/>
        </w:docPartObj>
      </w:sdtPr>
      <w:sdtContent>
        <w:p>
          <w:pPr>
            <w:pStyle w:val="TOC1"/>
            <w:rPr/>
          </w:pPr>
          <w:r>
            <w:fldChar w:fldCharType="begin"/>
          </w:r>
          <w:r>
            <w:rPr/>
            <w:instrText xml:space="preserve"> TOC \t "Article_L1,1,Article_L2,2" </w:instrText>
          </w:r>
          <w:r>
            <w:rPr/>
            <w:fldChar w:fldCharType="separate"/>
          </w:r>
          <w:r>
            <w:rPr/>
            <w:t>Article I. Term</w:t>
            <w:tab/>
          </w:r>
          <w:hyperlink w:anchor="__RefHeading___Toc489421183">
            <w:r>
              <w:rPr>
                <w:rStyle w:val="IndexLink"/>
              </w:rPr>
              <w:t>1</w:t>
            </w:r>
          </w:hyperlink>
        </w:p>
        <w:p>
          <w:pPr>
            <w:pStyle w:val="TOC2"/>
            <w:tabs>
              <w:tab w:val="left" w:pos="1440" w:leader="none"/>
              <w:tab w:val="left" w:pos="2160" w:leader="none"/>
              <w:tab w:val="right" w:pos="9288" w:leader="dot"/>
            </w:tabs>
            <w:rPr/>
          </w:pPr>
          <w:r>
            <w:rPr/>
            <w:t>Section 1.01</w:t>
            <w:tab/>
            <w:t>Contract Term</w:t>
            <w:tab/>
          </w:r>
          <w:hyperlink w:anchor="__RefHeading___Toc489421184">
            <w:r>
              <w:rPr>
                <w:rStyle w:val="IndexLink"/>
              </w:rPr>
              <w:t>1</w:t>
            </w:r>
          </w:hyperlink>
        </w:p>
        <w:p>
          <w:pPr>
            <w:pStyle w:val="TOC2"/>
            <w:tabs>
              <w:tab w:val="left" w:pos="1440" w:leader="none"/>
              <w:tab w:val="left" w:pos="2160" w:leader="none"/>
              <w:tab w:val="right" w:pos="9288" w:leader="dot"/>
            </w:tabs>
            <w:rPr/>
          </w:pPr>
          <w:r>
            <w:rPr/>
            <w:t>Section 1.02</w:t>
            <w:tab/>
            <w:t>Production Term</w:t>
            <w:tab/>
          </w:r>
          <w:hyperlink w:anchor="__RefHeading___Toc489421185">
            <w:r>
              <w:rPr>
                <w:rStyle w:val="IndexLink"/>
              </w:rPr>
              <w:t>1</w:t>
            </w:r>
          </w:hyperlink>
        </w:p>
        <w:p>
          <w:pPr>
            <w:pStyle w:val="TOC2"/>
            <w:tabs>
              <w:tab w:val="left" w:pos="1440" w:leader="none"/>
              <w:tab w:val="left" w:pos="2160" w:leader="none"/>
              <w:tab w:val="right" w:pos="9288" w:leader="dot"/>
            </w:tabs>
            <w:rPr/>
          </w:pPr>
          <w:r>
            <w:rPr/>
            <w:t>Section 1.03</w:t>
            <w:tab/>
            <w:t>Options to Extend Production Term</w:t>
            <w:tab/>
          </w:r>
          <w:hyperlink w:anchor="__RefHeading___Toc489421186">
            <w:r>
              <w:rPr>
                <w:rStyle w:val="IndexLink"/>
              </w:rPr>
              <w:t>2</w:t>
            </w:r>
          </w:hyperlink>
        </w:p>
        <w:p>
          <w:pPr>
            <w:pStyle w:val="TOC2"/>
            <w:tabs>
              <w:tab w:val="left" w:pos="1440" w:leader="none"/>
              <w:tab w:val="left" w:pos="2160" w:leader="none"/>
              <w:tab w:val="right" w:pos="9288" w:leader="dot"/>
            </w:tabs>
            <w:rPr/>
          </w:pPr>
          <w:r>
            <w:rPr/>
            <w:t>Section 1.04</w:t>
            <w:tab/>
            <w:t>Contract Year</w:t>
            <w:tab/>
          </w:r>
          <w:hyperlink w:anchor="__RefHeading___Toc489421187">
            <w:r>
              <w:rPr>
                <w:rStyle w:val="IndexLink"/>
              </w:rPr>
              <w:t>2</w:t>
            </w:r>
          </w:hyperlink>
        </w:p>
        <w:p>
          <w:pPr>
            <w:pStyle w:val="TOC1"/>
            <w:rPr/>
          </w:pPr>
          <w:r>
            <w:rPr/>
            <w:t>Article II. Facility</w:t>
            <w:tab/>
          </w:r>
          <w:hyperlink w:anchor="__RefHeading___Toc489421188">
            <w:r>
              <w:rPr>
                <w:rStyle w:val="IndexLink"/>
              </w:rPr>
              <w:t>2</w:t>
            </w:r>
          </w:hyperlink>
        </w:p>
        <w:p>
          <w:pPr>
            <w:pStyle w:val="TOC2"/>
            <w:tabs>
              <w:tab w:val="left" w:pos="1440" w:leader="none"/>
              <w:tab w:val="left" w:pos="2160" w:leader="none"/>
              <w:tab w:val="right" w:pos="9288" w:leader="dot"/>
            </w:tabs>
            <w:rPr/>
          </w:pPr>
          <w:r>
            <w:rPr/>
            <w:t>Section 2.01</w:t>
            <w:tab/>
            <w:t>Facility</w:t>
            <w:tab/>
          </w:r>
          <w:hyperlink w:anchor="__RefHeading___Toc489421189">
            <w:r>
              <w:rPr>
                <w:rStyle w:val="IndexLink"/>
              </w:rPr>
              <w:t>2</w:t>
            </w:r>
          </w:hyperlink>
        </w:p>
        <w:p>
          <w:pPr>
            <w:pStyle w:val="TOC2"/>
            <w:tabs>
              <w:tab w:val="left" w:pos="1440" w:leader="none"/>
              <w:tab w:val="left" w:pos="2160" w:leader="none"/>
              <w:tab w:val="right" w:pos="9288" w:leader="dot"/>
            </w:tabs>
            <w:rPr/>
          </w:pPr>
          <w:r>
            <w:rPr/>
            <w:t>Section 2.02</w:t>
            <w:tab/>
            <w:t>Interconnection</w:t>
            <w:tab/>
          </w:r>
          <w:hyperlink w:anchor="__RefHeading___Toc489421190">
            <w:r>
              <w:rPr>
                <w:rStyle w:val="IndexLink"/>
              </w:rPr>
              <w:t>3</w:t>
            </w:r>
          </w:hyperlink>
        </w:p>
        <w:p>
          <w:pPr>
            <w:pStyle w:val="TOC2"/>
            <w:tabs>
              <w:tab w:val="left" w:pos="1440" w:leader="none"/>
              <w:tab w:val="left" w:pos="2160" w:leader="none"/>
              <w:tab w:val="right" w:pos="9288" w:leader="dot"/>
            </w:tabs>
            <w:rPr/>
          </w:pPr>
          <w:r>
            <w:rPr/>
            <w:t>Section 2.03</w:t>
            <w:tab/>
            <w:t>Transmission</w:t>
            <w:tab/>
          </w:r>
          <w:hyperlink w:anchor="__RefHeading___Toc489421191">
            <w:ins w:id="244" w:author="Michael J. Curry" w:date="2000-08-02T09:00:00Z">
              <w:r>
                <w:rPr>
                  <w:rStyle w:val="IndexLink"/>
                </w:rPr>
                <w:t>4</w:t>
              </w:r>
            </w:ins>
            <w:ins w:id="245" w:author="EI" w:date="2000-08-01T09:12:00Z">
              <w:del w:id="246" w:author="Michael J. Curry" w:date="2000-08-02T09:00:00Z">
                <w:r>
                  <w:rPr>
                    <w:rStyle w:val="IndexLink"/>
                  </w:rPr>
                  <w:delText>4</w:delText>
                </w:r>
              </w:del>
            </w:ins>
            <w:ins w:id="247" w:author="dportz" w:date="2000-08-01T08:07:00Z">
              <w:del w:id="248" w:author="EI" w:date="2000-08-01T09:12:00Z">
                <w:r>
                  <w:rPr>
                    <w:rStyle w:val="IndexLink"/>
                  </w:rPr>
                  <w:delText>4</w:delText>
                </w:r>
              </w:del>
            </w:ins>
            <w:ins w:id="249" w:author="Michael J. Curry" w:date="2000-07-31T19:28:00Z">
              <w:del w:id="250" w:author="dportz" w:date="2000-08-01T08:07:00Z">
                <w:r>
                  <w:rPr>
                    <w:rStyle w:val="IndexLink"/>
                  </w:rPr>
                  <w:delText>4</w:delText>
                </w:r>
              </w:del>
            </w:ins>
            <w:del w:id="251" w:author="Michael J. Curry" w:date="2000-07-31T19:28:00Z">
              <w:r>
                <w:rPr>
                  <w:rStyle w:val="IndexLink"/>
                </w:rPr>
                <w:delText>3</w:delText>
              </w:r>
            </w:del>
          </w:hyperlink>
        </w:p>
        <w:p>
          <w:pPr>
            <w:pStyle w:val="TOC2"/>
            <w:tabs>
              <w:tab w:val="left" w:pos="1440" w:leader="none"/>
              <w:tab w:val="left" w:pos="2160" w:leader="none"/>
              <w:tab w:val="right" w:pos="9288" w:leader="dot"/>
            </w:tabs>
            <w:rPr/>
          </w:pPr>
          <w:r>
            <w:rPr/>
            <w:t>Section 2.04</w:t>
            <w:tab/>
            <w:t>Metering</w:t>
            <w:tab/>
          </w:r>
          <w:hyperlink w:anchor="__RefHeading___Toc489421192">
            <w:r>
              <w:rPr>
                <w:rStyle w:val="IndexLink"/>
              </w:rPr>
              <w:t>4</w:t>
            </w:r>
          </w:hyperlink>
        </w:p>
        <w:p>
          <w:pPr>
            <w:pStyle w:val="TOC2"/>
            <w:tabs>
              <w:tab w:val="left" w:pos="1440" w:leader="none"/>
              <w:tab w:val="left" w:pos="2160" w:leader="none"/>
              <w:tab w:val="right" w:pos="9288" w:leader="dot"/>
            </w:tabs>
            <w:rPr/>
          </w:pPr>
          <w:r>
            <w:rPr/>
            <w:t>Section 2.05</w:t>
            <w:tab/>
            <w:t>Communications and Telemetry</w:t>
            <w:tab/>
          </w:r>
          <w:hyperlink w:anchor="__RefHeading___Toc489421193">
            <w:r>
              <w:rPr>
                <w:rStyle w:val="IndexLink"/>
              </w:rPr>
              <w:t>5</w:t>
            </w:r>
          </w:hyperlink>
        </w:p>
        <w:p>
          <w:pPr>
            <w:pStyle w:val="TOC2"/>
            <w:tabs>
              <w:tab w:val="left" w:pos="1440" w:leader="none"/>
              <w:tab w:val="left" w:pos="2160" w:leader="none"/>
              <w:tab w:val="right" w:pos="9288" w:leader="dot"/>
            </w:tabs>
            <w:rPr/>
          </w:pPr>
          <w:r>
            <w:rPr/>
            <w:t>Section 2.06</w:t>
            <w:tab/>
            <w:t>Regulatory Compliance</w:t>
            <w:tab/>
          </w:r>
          <w:hyperlink w:anchor="__RefHeading___Toc489421194">
            <w:r>
              <w:rPr>
                <w:rStyle w:val="IndexLink"/>
              </w:rPr>
              <w:t>6</w:t>
            </w:r>
          </w:hyperlink>
        </w:p>
        <w:p>
          <w:pPr>
            <w:pStyle w:val="TOC2"/>
            <w:tabs>
              <w:tab w:val="left" w:pos="1440" w:leader="none"/>
              <w:tab w:val="left" w:pos="2160" w:leader="none"/>
              <w:tab w:val="right" w:pos="9288" w:leader="dot"/>
            </w:tabs>
            <w:rPr/>
          </w:pPr>
          <w:r>
            <w:rPr/>
            <w:t>Section 2.07</w:t>
            <w:tab/>
            <w:t>Modifications to Facility</w:t>
            <w:tab/>
          </w:r>
          <w:hyperlink w:anchor="__RefHeading___Toc489421195">
            <w:r>
              <w:rPr>
                <w:rStyle w:val="IndexLink"/>
              </w:rPr>
              <w:t>6</w:t>
            </w:r>
          </w:hyperlink>
        </w:p>
        <w:p>
          <w:pPr>
            <w:pStyle w:val="TOC2"/>
            <w:tabs>
              <w:tab w:val="left" w:pos="1440" w:leader="none"/>
              <w:tab w:val="left" w:pos="2160" w:leader="none"/>
              <w:tab w:val="right" w:pos="9288" w:leader="dot"/>
            </w:tabs>
            <w:rPr/>
          </w:pPr>
          <w:r>
            <w:rPr/>
            <w:t>Section 2.08</w:t>
            <w:tab/>
            <w:t>Exclusion of Liability</w:t>
            <w:tab/>
          </w:r>
          <w:hyperlink w:anchor="__RefHeading___Toc489421196">
            <w:ins w:id="252" w:author="Michael J. Curry" w:date="2000-08-02T09:00:00Z">
              <w:r>
                <w:rPr>
                  <w:rStyle w:val="IndexLink"/>
                </w:rPr>
                <w:t>7</w:t>
              </w:r>
            </w:ins>
            <w:ins w:id="253" w:author="EI" w:date="2000-08-01T09:12:00Z">
              <w:del w:id="254" w:author="Michael J. Curry" w:date="2000-08-02T09:00:00Z">
                <w:r>
                  <w:rPr>
                    <w:rStyle w:val="IndexLink"/>
                  </w:rPr>
                  <w:delText>7</w:delText>
                </w:r>
              </w:del>
            </w:ins>
            <w:ins w:id="255" w:author="dportz" w:date="2000-08-01T08:07:00Z">
              <w:del w:id="256" w:author="EI" w:date="2000-08-01T09:12:00Z">
                <w:r>
                  <w:rPr>
                    <w:rStyle w:val="IndexLink"/>
                  </w:rPr>
                  <w:delText>7</w:delText>
                </w:r>
              </w:del>
            </w:ins>
            <w:ins w:id="257" w:author="Michael J. Curry" w:date="2000-07-31T19:28:00Z">
              <w:del w:id="258" w:author="dportz" w:date="2000-08-01T08:07:00Z">
                <w:r>
                  <w:rPr>
                    <w:rStyle w:val="IndexLink"/>
                  </w:rPr>
                  <w:delText>7</w:delText>
                </w:r>
              </w:del>
            </w:ins>
            <w:del w:id="259" w:author="Michael J. Curry" w:date="2000-07-31T19:28:00Z">
              <w:r>
                <w:rPr>
                  <w:rStyle w:val="IndexLink"/>
                </w:rPr>
                <w:delText>6</w:delText>
              </w:r>
            </w:del>
          </w:hyperlink>
        </w:p>
        <w:p>
          <w:pPr>
            <w:pStyle w:val="TOC1"/>
            <w:rPr/>
          </w:pPr>
          <w:r>
            <w:rPr/>
            <w:t>Article III. Facility Operation</w:t>
            <w:tab/>
          </w:r>
          <w:hyperlink w:anchor="__RefHeading___Toc489421197">
            <w:r>
              <w:rPr>
                <w:rStyle w:val="IndexLink"/>
              </w:rPr>
              <w:t>7</w:t>
            </w:r>
          </w:hyperlink>
        </w:p>
        <w:p>
          <w:pPr>
            <w:pStyle w:val="TOC2"/>
            <w:tabs>
              <w:tab w:val="left" w:pos="1440" w:leader="none"/>
              <w:tab w:val="left" w:pos="2160" w:leader="none"/>
              <w:tab w:val="right" w:pos="9288" w:leader="dot"/>
            </w:tabs>
            <w:rPr/>
          </w:pPr>
          <w:r>
            <w:rPr/>
            <w:t>Section 3.01</w:t>
            <w:tab/>
            <w:t>General Requirements</w:t>
            <w:tab/>
          </w:r>
          <w:hyperlink w:anchor="__RefHeading___Toc489421198">
            <w:r>
              <w:rPr>
                <w:rStyle w:val="IndexLink"/>
              </w:rPr>
              <w:t>7</w:t>
            </w:r>
          </w:hyperlink>
        </w:p>
        <w:p>
          <w:pPr>
            <w:pStyle w:val="TOC2"/>
            <w:tabs>
              <w:tab w:val="left" w:pos="1440" w:leader="none"/>
              <w:tab w:val="left" w:pos="2160" w:leader="none"/>
              <w:tab w:val="right" w:pos="9288" w:leader="dot"/>
            </w:tabs>
            <w:rPr/>
          </w:pPr>
          <w:r>
            <w:rPr/>
            <w:t>Section 3.02</w:t>
            <w:tab/>
            <w:t>Quarterly Meeting</w:t>
            <w:tab/>
          </w:r>
          <w:hyperlink w:anchor="__RefHeading___Toc489421199">
            <w:ins w:id="260" w:author="Michael J. Curry" w:date="2000-08-02T09:00:00Z">
              <w:r>
                <w:rPr>
                  <w:rStyle w:val="IndexLink"/>
                </w:rPr>
                <w:t>8</w:t>
              </w:r>
            </w:ins>
            <w:ins w:id="261" w:author="EI" w:date="2000-08-01T09:12:00Z">
              <w:del w:id="262" w:author="Michael J. Curry" w:date="2000-08-02T09:00:00Z">
                <w:r>
                  <w:rPr>
                    <w:rStyle w:val="IndexLink"/>
                  </w:rPr>
                  <w:delText>8</w:delText>
                </w:r>
              </w:del>
            </w:ins>
            <w:ins w:id="263" w:author="dportz" w:date="2000-08-01T08:07:00Z">
              <w:del w:id="264" w:author="EI" w:date="2000-08-01T09:12:00Z">
                <w:r>
                  <w:rPr>
                    <w:rStyle w:val="IndexLink"/>
                  </w:rPr>
                  <w:delText>8</w:delText>
                </w:r>
              </w:del>
            </w:ins>
            <w:ins w:id="265" w:author="Michael J. Curry" w:date="2000-07-31T19:28:00Z">
              <w:del w:id="266" w:author="dportz" w:date="2000-08-01T08:07:00Z">
                <w:r>
                  <w:rPr>
                    <w:rStyle w:val="IndexLink"/>
                  </w:rPr>
                  <w:delText>8</w:delText>
                </w:r>
              </w:del>
            </w:ins>
            <w:del w:id="267"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3.03</w:t>
            <w:tab/>
            <w:t>Legal Opinion</w:t>
            <w:tab/>
          </w:r>
          <w:hyperlink w:anchor="__RefHeading___Toc489421200">
            <w:ins w:id="268" w:author="Michael J. Curry" w:date="2000-08-02T09:00:00Z">
              <w:r>
                <w:rPr>
                  <w:rStyle w:val="IndexLink"/>
                </w:rPr>
                <w:t>8</w:t>
              </w:r>
            </w:ins>
            <w:ins w:id="269" w:author="EI" w:date="2000-08-01T09:12:00Z">
              <w:del w:id="270" w:author="Michael J. Curry" w:date="2000-08-02T09:00:00Z">
                <w:r>
                  <w:rPr>
                    <w:rStyle w:val="IndexLink"/>
                  </w:rPr>
                  <w:delText>8</w:delText>
                </w:r>
              </w:del>
            </w:ins>
            <w:ins w:id="271" w:author="dportz" w:date="2000-08-01T08:07:00Z">
              <w:del w:id="272" w:author="EI" w:date="2000-08-01T09:12:00Z">
                <w:r>
                  <w:rPr>
                    <w:rStyle w:val="IndexLink"/>
                  </w:rPr>
                  <w:delText>8</w:delText>
                </w:r>
              </w:del>
            </w:ins>
            <w:ins w:id="273" w:author="Michael J. Curry" w:date="2000-07-31T19:28:00Z">
              <w:del w:id="274" w:author="dportz" w:date="2000-08-01T08:07:00Z">
                <w:r>
                  <w:rPr>
                    <w:rStyle w:val="IndexLink"/>
                  </w:rPr>
                  <w:delText>8</w:delText>
                </w:r>
              </w:del>
            </w:ins>
            <w:del w:id="275" w:author="Michael J. Curry" w:date="2000-07-31T19:28:00Z">
              <w:r>
                <w:rPr>
                  <w:rStyle w:val="IndexLink"/>
                </w:rPr>
                <w:delText>7</w:delText>
              </w:r>
            </w:del>
          </w:hyperlink>
        </w:p>
        <w:p>
          <w:pPr>
            <w:pStyle w:val="TOC2"/>
            <w:tabs>
              <w:tab w:val="left" w:pos="1440" w:leader="none"/>
              <w:tab w:val="left" w:pos="2160" w:leader="none"/>
              <w:tab w:val="right" w:pos="9288" w:leader="dot"/>
            </w:tabs>
            <w:rPr/>
          </w:pPr>
          <w:r>
            <w:rPr/>
            <w:t>Section 3.04</w:t>
            <w:tab/>
            <w:t>No Interstate Operations</w:t>
            <w:tab/>
          </w:r>
          <w:hyperlink w:anchor="__RefHeading___Toc489421201">
            <w:r>
              <w:rPr>
                <w:rStyle w:val="IndexLink"/>
              </w:rPr>
              <w:t>8</w:t>
            </w:r>
          </w:hyperlink>
        </w:p>
        <w:p>
          <w:pPr>
            <w:pStyle w:val="TOC2"/>
            <w:tabs>
              <w:tab w:val="left" w:pos="1440" w:leader="none"/>
              <w:tab w:val="left" w:pos="2160" w:leader="none"/>
              <w:tab w:val="right" w:pos="9288" w:leader="dot"/>
            </w:tabs>
            <w:rPr/>
          </w:pPr>
          <w:r>
            <w:rPr/>
            <w:t>Section 3.05</w:t>
            <w:tab/>
            <w:t>Access to Facility</w:t>
            <w:tab/>
          </w:r>
          <w:hyperlink w:anchor="__RefHeading___Toc489421202">
            <w:ins w:id="276" w:author="Michael J. Curry" w:date="2000-08-02T09:00:00Z">
              <w:r>
                <w:rPr>
                  <w:rStyle w:val="IndexLink"/>
                </w:rPr>
                <w:t>9</w:t>
              </w:r>
            </w:ins>
            <w:ins w:id="277" w:author="EI" w:date="2000-08-01T09:12:00Z">
              <w:del w:id="278" w:author="Michael J. Curry" w:date="2000-08-02T09:00:00Z">
                <w:r>
                  <w:rPr>
                    <w:rStyle w:val="IndexLink"/>
                  </w:rPr>
                  <w:delText>9</w:delText>
                </w:r>
              </w:del>
            </w:ins>
            <w:ins w:id="279" w:author="dportz" w:date="2000-08-01T08:07:00Z">
              <w:del w:id="280" w:author="EI" w:date="2000-08-01T09:12:00Z">
                <w:r>
                  <w:rPr>
                    <w:rStyle w:val="IndexLink"/>
                  </w:rPr>
                  <w:delText>9</w:delText>
                </w:r>
              </w:del>
            </w:ins>
            <w:ins w:id="281" w:author="Michael J. Curry" w:date="2000-07-31T19:28:00Z">
              <w:del w:id="282" w:author="dportz" w:date="2000-08-01T08:07:00Z">
                <w:r>
                  <w:rPr>
                    <w:rStyle w:val="IndexLink"/>
                  </w:rPr>
                  <w:delText>9</w:delText>
                </w:r>
              </w:del>
            </w:ins>
            <w:del w:id="283" w:author="Michael J. Curry" w:date="2000-07-31T19:28:00Z">
              <w:r>
                <w:rPr>
                  <w:rStyle w:val="IndexLink"/>
                </w:rPr>
                <w:delText>8</w:delText>
              </w:r>
            </w:del>
          </w:hyperlink>
        </w:p>
        <w:p>
          <w:pPr>
            <w:pStyle w:val="TOC1"/>
            <w:rPr/>
          </w:pPr>
          <w:r>
            <w:rPr/>
            <w:t>Article IV. Payments, Records, and Billings</w:t>
            <w:tab/>
          </w:r>
          <w:hyperlink w:anchor="__RefHeading___Toc489421203">
            <w:ins w:id="284" w:author="Michael J. Curry" w:date="2000-08-02T09:00:00Z">
              <w:r>
                <w:rPr>
                  <w:rStyle w:val="IndexLink"/>
                </w:rPr>
                <w:t>9</w:t>
              </w:r>
            </w:ins>
            <w:ins w:id="285" w:author="EI" w:date="2000-08-01T09:12:00Z">
              <w:del w:id="286" w:author="Michael J. Curry" w:date="2000-08-02T09:00:00Z">
                <w:r>
                  <w:rPr>
                    <w:rStyle w:val="IndexLink"/>
                  </w:rPr>
                  <w:delText>9</w:delText>
                </w:r>
              </w:del>
            </w:ins>
            <w:ins w:id="287" w:author="dportz" w:date="2000-08-01T08:07:00Z">
              <w:del w:id="288" w:author="EI" w:date="2000-08-01T09:12:00Z">
                <w:r>
                  <w:rPr>
                    <w:rStyle w:val="IndexLink"/>
                  </w:rPr>
                  <w:delText>9</w:delText>
                </w:r>
              </w:del>
            </w:ins>
            <w:ins w:id="289" w:author="Michael J. Curry" w:date="2000-07-31T19:28:00Z">
              <w:del w:id="290" w:author="dportz" w:date="2000-08-01T08:07:00Z">
                <w:r>
                  <w:rPr>
                    <w:rStyle w:val="IndexLink"/>
                  </w:rPr>
                  <w:delText>9</w:delText>
                </w:r>
              </w:del>
            </w:ins>
            <w:del w:id="291"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4.01</w:t>
            <w:tab/>
            <w:t>Quantity Sold</w:t>
            <w:tab/>
          </w:r>
          <w:hyperlink w:anchor="__RefHeading___Toc489421204">
            <w:ins w:id="292" w:author="Michael J. Curry" w:date="2000-08-02T09:00:00Z">
              <w:r>
                <w:rPr>
                  <w:rStyle w:val="IndexLink"/>
                </w:rPr>
                <w:t>9</w:t>
              </w:r>
            </w:ins>
            <w:ins w:id="293" w:author="EI" w:date="2000-08-01T09:12:00Z">
              <w:del w:id="294" w:author="Michael J. Curry" w:date="2000-08-02T09:00:00Z">
                <w:r>
                  <w:rPr>
                    <w:rStyle w:val="IndexLink"/>
                  </w:rPr>
                  <w:delText>9</w:delText>
                </w:r>
              </w:del>
            </w:ins>
            <w:ins w:id="295" w:author="dportz" w:date="2000-08-01T08:07:00Z">
              <w:del w:id="296" w:author="EI" w:date="2000-08-01T09:12:00Z">
                <w:r>
                  <w:rPr>
                    <w:rStyle w:val="IndexLink"/>
                  </w:rPr>
                  <w:delText>9</w:delText>
                </w:r>
              </w:del>
            </w:ins>
            <w:ins w:id="297" w:author="Michael J. Curry" w:date="2000-07-31T19:28:00Z">
              <w:del w:id="298" w:author="dportz" w:date="2000-08-01T08:07:00Z">
                <w:r>
                  <w:rPr>
                    <w:rStyle w:val="IndexLink"/>
                  </w:rPr>
                  <w:delText>9</w:delText>
                </w:r>
              </w:del>
            </w:ins>
            <w:del w:id="299" w:author="Michael J. Curry" w:date="2000-07-31T19:28:00Z">
              <w:r>
                <w:rPr>
                  <w:rStyle w:val="IndexLink"/>
                </w:rPr>
                <w:delText>8</w:delText>
              </w:r>
            </w:del>
          </w:hyperlink>
        </w:p>
        <w:p>
          <w:pPr>
            <w:pStyle w:val="TOC2"/>
            <w:tabs>
              <w:tab w:val="left" w:pos="1440" w:leader="none"/>
              <w:tab w:val="left" w:pos="2160" w:leader="none"/>
              <w:tab w:val="right" w:pos="9288" w:leader="dot"/>
            </w:tabs>
            <w:rPr/>
          </w:pPr>
          <w:r>
            <w:rPr/>
            <w:t>Section 4.02</w:t>
            <w:tab/>
            <w:t>Monthly Payments</w:t>
            <w:tab/>
          </w:r>
          <w:hyperlink w:anchor="__RefHeading___Toc489421205">
            <w:ins w:id="300" w:author="Michael J. Curry" w:date="2000-08-02T09:00:00Z">
              <w:r>
                <w:rPr>
                  <w:rStyle w:val="IndexLink"/>
                </w:rPr>
                <w:t>10</w:t>
              </w:r>
            </w:ins>
            <w:ins w:id="301" w:author="EI" w:date="2000-08-01T09:12:00Z">
              <w:del w:id="302" w:author="Michael J. Curry" w:date="2000-08-02T09:00:00Z">
                <w:r>
                  <w:rPr>
                    <w:rStyle w:val="IndexLink"/>
                  </w:rPr>
                  <w:delText>10</w:delText>
                </w:r>
              </w:del>
            </w:ins>
            <w:ins w:id="303" w:author="dportz" w:date="2000-08-01T08:07:00Z">
              <w:del w:id="304" w:author="EI" w:date="2000-08-01T09:12:00Z">
                <w:r>
                  <w:rPr>
                    <w:rStyle w:val="IndexLink"/>
                  </w:rPr>
                  <w:delText>10</w:delText>
                </w:r>
              </w:del>
            </w:ins>
            <w:del w:id="305" w:author="dportz" w:date="2000-08-01T08:07:00Z">
              <w:r>
                <w:rPr>
                  <w:rStyle w:val="IndexLink"/>
                </w:rPr>
                <w:delText>9</w:delText>
              </w:r>
            </w:del>
          </w:hyperlink>
        </w:p>
        <w:p>
          <w:pPr>
            <w:pStyle w:val="TOC2"/>
            <w:tabs>
              <w:tab w:val="left" w:pos="1440" w:leader="none"/>
              <w:tab w:val="left" w:pos="2160" w:leader="none"/>
              <w:tab w:val="right" w:pos="9288" w:leader="dot"/>
            </w:tabs>
            <w:rPr/>
          </w:pPr>
          <w:r>
            <w:rPr/>
            <w:t>Section 4.03</w:t>
            <w:tab/>
            <w:t>Quarterly Reconciliation</w:t>
            <w:tab/>
          </w:r>
          <w:hyperlink w:anchor="__RefHeading___Toc489421206">
            <w:ins w:id="306" w:author="Michael J. Curry" w:date="2000-08-02T09:00:00Z">
              <w:r>
                <w:rPr>
                  <w:rStyle w:val="IndexLink"/>
                </w:rPr>
                <w:t>10</w:t>
              </w:r>
            </w:ins>
            <w:ins w:id="307" w:author="EI" w:date="2000-08-01T09:12:00Z">
              <w:del w:id="308" w:author="Michael J. Curry" w:date="2000-08-02T09:00:00Z">
                <w:r>
                  <w:rPr>
                    <w:rStyle w:val="IndexLink"/>
                  </w:rPr>
                  <w:delText>10</w:delText>
                </w:r>
              </w:del>
            </w:ins>
            <w:ins w:id="309" w:author="dportz" w:date="2000-08-01T08:07:00Z">
              <w:del w:id="310" w:author="EI" w:date="2000-08-01T09:12:00Z">
                <w:r>
                  <w:rPr>
                    <w:rStyle w:val="IndexLink"/>
                  </w:rPr>
                  <w:delText>10</w:delText>
                </w:r>
              </w:del>
            </w:ins>
            <w:ins w:id="311" w:author="Michael J. Curry" w:date="2000-07-31T19:28:00Z">
              <w:del w:id="312" w:author="dportz" w:date="2000-08-01T08:07:00Z">
                <w:r>
                  <w:rPr>
                    <w:rStyle w:val="IndexLink"/>
                  </w:rPr>
                  <w:delText>10</w:delText>
                </w:r>
              </w:del>
            </w:ins>
            <w:del w:id="313" w:author="Michael J. Curry" w:date="2000-07-31T19:28:00Z">
              <w:r>
                <w:rPr>
                  <w:rStyle w:val="IndexLink"/>
                </w:rPr>
                <w:delText>9</w:delText>
              </w:r>
            </w:del>
          </w:hyperlink>
        </w:p>
        <w:p>
          <w:pPr>
            <w:pStyle w:val="TOC2"/>
            <w:tabs>
              <w:tab w:val="left" w:pos="1440" w:leader="none"/>
              <w:tab w:val="left" w:pos="2160" w:leader="none"/>
              <w:tab w:val="right" w:pos="9288" w:leader="dot"/>
            </w:tabs>
            <w:rPr/>
          </w:pPr>
          <w:r>
            <w:rPr/>
            <w:t>Section 4.04</w:t>
            <w:tab/>
            <w:t>Annual Reconciliation</w:t>
            <w:tab/>
          </w:r>
          <w:hyperlink w:anchor="__RefHeading___Toc489421207">
            <w:r>
              <w:rPr>
                <w:rStyle w:val="IndexLink"/>
              </w:rPr>
              <w:t>10</w:t>
            </w:r>
          </w:hyperlink>
        </w:p>
        <w:p>
          <w:pPr>
            <w:pStyle w:val="TOC2"/>
            <w:tabs>
              <w:tab w:val="left" w:pos="1440" w:leader="none"/>
              <w:tab w:val="left" w:pos="2160" w:leader="none"/>
              <w:tab w:val="right" w:pos="9288" w:leader="dot"/>
            </w:tabs>
            <w:rPr/>
          </w:pPr>
          <w:r>
            <w:rPr/>
            <w:t>Section 4.05</w:t>
            <w:tab/>
            <w:t>Effect of Uncontrollable Force</w:t>
            <w:tab/>
          </w:r>
          <w:hyperlink w:anchor="__RefHeading___Toc489421208">
            <w:ins w:id="314" w:author="Michael J. Curry" w:date="2000-08-02T09:00:00Z">
              <w:r>
                <w:rPr>
                  <w:rStyle w:val="IndexLink"/>
                </w:rPr>
                <w:t>13</w:t>
              </w:r>
            </w:ins>
            <w:ins w:id="315" w:author="EI" w:date="2000-08-01T09:12:00Z">
              <w:del w:id="316" w:author="Michael J. Curry" w:date="2000-08-02T09:00:00Z">
                <w:r>
                  <w:rPr>
                    <w:rStyle w:val="IndexLink"/>
                  </w:rPr>
                  <w:delText>13</w:delText>
                </w:r>
              </w:del>
            </w:ins>
            <w:ins w:id="317" w:author="dportz" w:date="2000-08-01T08:07:00Z">
              <w:del w:id="318" w:author="EI" w:date="2000-08-01T09:12:00Z">
                <w:r>
                  <w:rPr>
                    <w:rStyle w:val="IndexLink"/>
                  </w:rPr>
                  <w:delText>13</w:delText>
                </w:r>
              </w:del>
            </w:ins>
            <w:ins w:id="319" w:author="Michael J. Curry" w:date="2000-07-31T19:28:00Z">
              <w:del w:id="320" w:author="dportz" w:date="2000-08-01T08:07:00Z">
                <w:r>
                  <w:rPr>
                    <w:rStyle w:val="IndexLink"/>
                  </w:rPr>
                  <w:delText>13</w:delText>
                </w:r>
              </w:del>
            </w:ins>
            <w:del w:id="321"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4.06</w:t>
            <w:tab/>
            <w:t>Governmental Impositions</w:t>
            <w:tab/>
          </w:r>
          <w:hyperlink w:anchor="__RefHeading___Toc489421209">
            <w:ins w:id="322" w:author="Michael J. Curry" w:date="2000-08-02T09:00:00Z">
              <w:r>
                <w:rPr>
                  <w:rStyle w:val="IndexLink"/>
                </w:rPr>
                <w:t>13</w:t>
              </w:r>
            </w:ins>
            <w:ins w:id="323" w:author="EI" w:date="2000-08-01T09:12:00Z">
              <w:del w:id="324" w:author="Michael J. Curry" w:date="2000-08-02T09:00:00Z">
                <w:r>
                  <w:rPr>
                    <w:rStyle w:val="IndexLink"/>
                  </w:rPr>
                  <w:delText>13</w:delText>
                </w:r>
              </w:del>
            </w:ins>
            <w:ins w:id="325" w:author="dportz" w:date="2000-08-01T08:07:00Z">
              <w:del w:id="326" w:author="EI" w:date="2000-08-01T09:12:00Z">
                <w:r>
                  <w:rPr>
                    <w:rStyle w:val="IndexLink"/>
                  </w:rPr>
                  <w:delText>13</w:delText>
                </w:r>
              </w:del>
            </w:ins>
            <w:ins w:id="327" w:author="Michael J. Curry" w:date="2000-07-31T19:28:00Z">
              <w:del w:id="328" w:author="dportz" w:date="2000-08-01T08:07:00Z">
                <w:r>
                  <w:rPr>
                    <w:rStyle w:val="IndexLink"/>
                  </w:rPr>
                  <w:delText>13</w:delText>
                </w:r>
              </w:del>
            </w:ins>
            <w:del w:id="329" w:author="Michael J. Curry" w:date="2000-07-31T19:28:00Z">
              <w:r>
                <w:rPr>
                  <w:rStyle w:val="IndexLink"/>
                </w:rPr>
                <w:delText>12</w:delText>
              </w:r>
            </w:del>
          </w:hyperlink>
        </w:p>
        <w:p>
          <w:pPr>
            <w:pStyle w:val="TOC2"/>
            <w:tabs>
              <w:tab w:val="left" w:pos="1440" w:leader="none"/>
              <w:tab w:val="left" w:pos="2160" w:leader="none"/>
              <w:tab w:val="right" w:pos="9288" w:leader="dot"/>
            </w:tabs>
            <w:rPr/>
          </w:pPr>
          <w:r>
            <w:rPr/>
            <w:t>Section 4.07</w:t>
            <w:tab/>
            <w:t>Records</w:t>
            <w:tab/>
          </w:r>
          <w:hyperlink w:anchor="__RefHeading___Toc489421210">
            <w:ins w:id="330" w:author="Michael J. Curry" w:date="2000-08-02T09:00:00Z">
              <w:r>
                <w:rPr>
                  <w:rStyle w:val="IndexLink"/>
                </w:rPr>
                <w:t>14</w:t>
              </w:r>
            </w:ins>
            <w:ins w:id="331" w:author="EI" w:date="2000-08-01T09:12:00Z">
              <w:del w:id="332" w:author="Michael J. Curry" w:date="2000-08-02T09:00:00Z">
                <w:r>
                  <w:rPr>
                    <w:rStyle w:val="IndexLink"/>
                  </w:rPr>
                  <w:delText>14</w:delText>
                </w:r>
              </w:del>
            </w:ins>
            <w:ins w:id="333" w:author="dportz" w:date="2000-08-01T08:07:00Z">
              <w:del w:id="334" w:author="EI" w:date="2000-08-01T09:12:00Z">
                <w:r>
                  <w:rPr>
                    <w:rStyle w:val="IndexLink"/>
                  </w:rPr>
                  <w:delText>14</w:delText>
                </w:r>
              </w:del>
            </w:ins>
            <w:del w:id="335" w:author="dportz" w:date="2000-08-01T08:07:00Z">
              <w:r>
                <w:rPr>
                  <w:rStyle w:val="IndexLink"/>
                </w:rPr>
                <w:delText>13</w:delText>
              </w:r>
            </w:del>
          </w:hyperlink>
        </w:p>
        <w:p>
          <w:pPr>
            <w:pStyle w:val="TOC2"/>
            <w:tabs>
              <w:tab w:val="left" w:pos="1440" w:leader="none"/>
              <w:tab w:val="left" w:pos="2160" w:leader="none"/>
              <w:tab w:val="right" w:pos="9288" w:leader="dot"/>
            </w:tabs>
            <w:rPr/>
          </w:pPr>
          <w:r>
            <w:rPr/>
            <w:t>Section 4.08</w:t>
            <w:tab/>
            <w:t>Billing</w:t>
            <w:tab/>
          </w:r>
          <w:hyperlink w:anchor="__RefHeading___Toc489421211">
            <w:ins w:id="336" w:author="Michael J. Curry" w:date="2000-08-02T09:00:00Z">
              <w:r>
                <w:rPr>
                  <w:rStyle w:val="IndexLink"/>
                </w:rPr>
                <w:t>14</w:t>
              </w:r>
            </w:ins>
            <w:ins w:id="337" w:author="EI" w:date="2000-08-01T09:12:00Z">
              <w:del w:id="338" w:author="Michael J. Curry" w:date="2000-08-02T09:00:00Z">
                <w:r>
                  <w:rPr>
                    <w:rStyle w:val="IndexLink"/>
                  </w:rPr>
                  <w:delText>14</w:delText>
                </w:r>
              </w:del>
            </w:ins>
            <w:ins w:id="339" w:author="dportz" w:date="2000-08-01T08:07:00Z">
              <w:del w:id="340" w:author="EI" w:date="2000-08-01T09:12:00Z">
                <w:r>
                  <w:rPr>
                    <w:rStyle w:val="IndexLink"/>
                  </w:rPr>
                  <w:delText>14</w:delText>
                </w:r>
              </w:del>
            </w:ins>
            <w:ins w:id="341" w:author="Michael J. Curry" w:date="2000-07-31T19:28:00Z">
              <w:del w:id="342" w:author="dportz" w:date="2000-08-01T08:07:00Z">
                <w:r>
                  <w:rPr>
                    <w:rStyle w:val="IndexLink"/>
                  </w:rPr>
                  <w:delText>14</w:delText>
                </w:r>
              </w:del>
            </w:ins>
            <w:del w:id="343"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4.09</w:t>
            <w:tab/>
            <w:t>Interest on Past Due Amounts</w:t>
            <w:tab/>
          </w:r>
          <w:hyperlink w:anchor="__RefHeading___Toc489421212">
            <w:ins w:id="344" w:author="Michael J. Curry" w:date="2000-08-02T09:00:00Z">
              <w:r>
                <w:rPr>
                  <w:rStyle w:val="IndexLink"/>
                </w:rPr>
                <w:t>14</w:t>
              </w:r>
            </w:ins>
            <w:ins w:id="345" w:author="EI" w:date="2000-08-01T09:12:00Z">
              <w:del w:id="346" w:author="Michael J. Curry" w:date="2000-08-02T09:00:00Z">
                <w:r>
                  <w:rPr>
                    <w:rStyle w:val="IndexLink"/>
                  </w:rPr>
                  <w:delText>14</w:delText>
                </w:r>
              </w:del>
            </w:ins>
            <w:ins w:id="347" w:author="dportz" w:date="2000-08-01T08:07:00Z">
              <w:del w:id="348" w:author="EI" w:date="2000-08-01T09:12:00Z">
                <w:r>
                  <w:rPr>
                    <w:rStyle w:val="IndexLink"/>
                  </w:rPr>
                  <w:delText>14</w:delText>
                </w:r>
              </w:del>
            </w:ins>
            <w:ins w:id="349" w:author="Michael J. Curry" w:date="2000-07-31T19:28:00Z">
              <w:del w:id="350" w:author="dportz" w:date="2000-08-01T08:07:00Z">
                <w:r>
                  <w:rPr>
                    <w:rStyle w:val="IndexLink"/>
                  </w:rPr>
                  <w:delText>14</w:delText>
                </w:r>
              </w:del>
            </w:ins>
            <w:del w:id="351" w:author="Michael J. Curry" w:date="2000-07-31T19:28:00Z">
              <w:r>
                <w:rPr>
                  <w:rStyle w:val="IndexLink"/>
                </w:rPr>
                <w:delText>13</w:delText>
              </w:r>
            </w:del>
          </w:hyperlink>
        </w:p>
        <w:p>
          <w:pPr>
            <w:pStyle w:val="TOC2"/>
            <w:tabs>
              <w:tab w:val="left" w:pos="1440" w:leader="none"/>
              <w:tab w:val="left" w:pos="2160" w:leader="none"/>
              <w:tab w:val="right" w:pos="9288" w:leader="dot"/>
            </w:tabs>
            <w:rPr/>
          </w:pPr>
          <w:r>
            <w:rPr/>
            <w:t>Section 4.10</w:t>
            <w:tab/>
            <w:t>Corrections</w:t>
            <w:tab/>
          </w:r>
          <w:hyperlink w:anchor="__RefHeading___Toc489421213">
            <w:ins w:id="352" w:author="Michael J. Curry" w:date="2000-08-02T09:00:00Z">
              <w:r>
                <w:rPr>
                  <w:rStyle w:val="IndexLink"/>
                </w:rPr>
                <w:t>15</w:t>
              </w:r>
            </w:ins>
            <w:ins w:id="353" w:author="EI" w:date="2000-08-01T09:12:00Z">
              <w:del w:id="354" w:author="Michael J. Curry" w:date="2000-08-02T09:00:00Z">
                <w:r>
                  <w:rPr>
                    <w:rStyle w:val="IndexLink"/>
                  </w:rPr>
                  <w:delText>15</w:delText>
                </w:r>
              </w:del>
            </w:ins>
            <w:ins w:id="355" w:author="dportz" w:date="2000-08-01T08:07:00Z">
              <w:del w:id="356" w:author="EI" w:date="2000-08-01T09:12:00Z">
                <w:r>
                  <w:rPr>
                    <w:rStyle w:val="IndexLink"/>
                  </w:rPr>
                  <w:delText>15</w:delText>
                </w:r>
              </w:del>
            </w:ins>
            <w:del w:id="357" w:author="dportz" w:date="2000-08-01T08:07:00Z">
              <w:r>
                <w:rPr>
                  <w:rStyle w:val="IndexLink"/>
                </w:rPr>
                <w:delText>14</w:delText>
              </w:r>
            </w:del>
          </w:hyperlink>
        </w:p>
        <w:p>
          <w:pPr>
            <w:pStyle w:val="TOC1"/>
            <w:rPr/>
          </w:pPr>
          <w:r>
            <w:rPr/>
            <w:t>Article V. Termination and Uncontrollable Force</w:t>
            <w:tab/>
          </w:r>
          <w:hyperlink w:anchor="__RefHeading___Toc489421214">
            <w:ins w:id="358" w:author="Michael J. Curry" w:date="2000-08-02T09:00:00Z">
              <w:r>
                <w:rPr>
                  <w:rStyle w:val="IndexLink"/>
                </w:rPr>
                <w:t>15</w:t>
              </w:r>
            </w:ins>
            <w:ins w:id="359" w:author="EI" w:date="2000-08-01T09:12:00Z">
              <w:del w:id="360" w:author="Michael J. Curry" w:date="2000-08-02T09:00:00Z">
                <w:r>
                  <w:rPr>
                    <w:rStyle w:val="IndexLink"/>
                  </w:rPr>
                  <w:delText>15</w:delText>
                </w:r>
              </w:del>
            </w:ins>
            <w:ins w:id="361" w:author="dportz" w:date="2000-08-01T08:07:00Z">
              <w:del w:id="362" w:author="EI" w:date="2000-08-01T09:12:00Z">
                <w:r>
                  <w:rPr>
                    <w:rStyle w:val="IndexLink"/>
                  </w:rPr>
                  <w:delText>15</w:delText>
                </w:r>
              </w:del>
            </w:ins>
            <w:ins w:id="363" w:author="Michael J. Curry" w:date="2000-07-31T19:28:00Z">
              <w:del w:id="364" w:author="dportz" w:date="2000-08-01T08:07:00Z">
                <w:r>
                  <w:rPr>
                    <w:rStyle w:val="IndexLink"/>
                  </w:rPr>
                  <w:delText>15</w:delText>
                </w:r>
              </w:del>
            </w:ins>
            <w:del w:id="365"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5.01</w:t>
            <w:tab/>
            <w:t>Insolvency</w:t>
            <w:tab/>
          </w:r>
          <w:hyperlink w:anchor="__RefHeading___Toc489421215">
            <w:ins w:id="366" w:author="Michael J. Curry" w:date="2000-08-02T09:00:00Z">
              <w:r>
                <w:rPr>
                  <w:rStyle w:val="IndexLink"/>
                </w:rPr>
                <w:t>15</w:t>
              </w:r>
            </w:ins>
            <w:ins w:id="367" w:author="EI" w:date="2000-08-01T09:12:00Z">
              <w:del w:id="368" w:author="Michael J. Curry" w:date="2000-08-02T09:00:00Z">
                <w:r>
                  <w:rPr>
                    <w:rStyle w:val="IndexLink"/>
                  </w:rPr>
                  <w:delText>15</w:delText>
                </w:r>
              </w:del>
            </w:ins>
            <w:ins w:id="369" w:author="dportz" w:date="2000-08-01T08:07:00Z">
              <w:del w:id="370" w:author="EI" w:date="2000-08-01T09:12:00Z">
                <w:r>
                  <w:rPr>
                    <w:rStyle w:val="IndexLink"/>
                  </w:rPr>
                  <w:delText>15</w:delText>
                </w:r>
              </w:del>
            </w:ins>
            <w:ins w:id="371" w:author="Michael J. Curry" w:date="2000-07-31T19:28:00Z">
              <w:del w:id="372" w:author="dportz" w:date="2000-08-01T08:07:00Z">
                <w:r>
                  <w:rPr>
                    <w:rStyle w:val="IndexLink"/>
                  </w:rPr>
                  <w:delText>15</w:delText>
                </w:r>
              </w:del>
            </w:ins>
            <w:del w:id="373"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5.02</w:t>
            <w:tab/>
            <w:t>Uncontrollable Force</w:t>
            <w:tab/>
          </w:r>
          <w:hyperlink w:anchor="__RefHeading___Toc489421216">
            <w:ins w:id="374" w:author="Michael J. Curry" w:date="2000-08-02T09:00:00Z">
              <w:r>
                <w:rPr>
                  <w:rStyle w:val="IndexLink"/>
                </w:rPr>
                <w:t>15</w:t>
              </w:r>
            </w:ins>
            <w:ins w:id="375" w:author="EI" w:date="2000-08-01T09:12:00Z">
              <w:del w:id="376" w:author="Michael J. Curry" w:date="2000-08-02T09:00:00Z">
                <w:r>
                  <w:rPr>
                    <w:rStyle w:val="IndexLink"/>
                  </w:rPr>
                  <w:delText>15</w:delText>
                </w:r>
              </w:del>
            </w:ins>
            <w:ins w:id="377" w:author="dportz" w:date="2000-08-01T08:07:00Z">
              <w:del w:id="378" w:author="EI" w:date="2000-08-01T09:12:00Z">
                <w:r>
                  <w:rPr>
                    <w:rStyle w:val="IndexLink"/>
                  </w:rPr>
                  <w:delText>15</w:delText>
                </w:r>
              </w:del>
            </w:ins>
            <w:ins w:id="379" w:author="Michael J. Curry" w:date="2000-07-31T19:28:00Z">
              <w:del w:id="380" w:author="dportz" w:date="2000-08-01T08:07:00Z">
                <w:r>
                  <w:rPr>
                    <w:rStyle w:val="IndexLink"/>
                  </w:rPr>
                  <w:delText>15</w:delText>
                </w:r>
              </w:del>
            </w:ins>
            <w:del w:id="381" w:author="Michael J. Curry" w:date="2000-07-31T19:28:00Z">
              <w:r>
                <w:rPr>
                  <w:rStyle w:val="IndexLink"/>
                </w:rPr>
                <w:delText>14</w:delText>
              </w:r>
            </w:del>
          </w:hyperlink>
        </w:p>
        <w:p>
          <w:pPr>
            <w:pStyle w:val="TOC2"/>
            <w:tabs>
              <w:tab w:val="left" w:pos="1440" w:leader="none"/>
              <w:tab w:val="left" w:pos="2160" w:leader="none"/>
              <w:tab w:val="right" w:pos="9288" w:leader="dot"/>
            </w:tabs>
            <w:rPr/>
          </w:pPr>
          <w:r>
            <w:rPr/>
            <w:t>Section 5.03</w:t>
            <w:tab/>
            <w:t>Default and Termination</w:t>
            <w:tab/>
          </w:r>
          <w:hyperlink w:anchor="__RefHeading___Toc489421217">
            <w:ins w:id="382" w:author="Michael J. Curry" w:date="2000-08-02T09:00:00Z">
              <w:r>
                <w:rPr>
                  <w:rStyle w:val="IndexLink"/>
                </w:rPr>
                <w:t>16</w:t>
              </w:r>
            </w:ins>
            <w:ins w:id="383" w:author="EI" w:date="2000-08-01T09:12:00Z">
              <w:del w:id="384" w:author="Michael J. Curry" w:date="2000-08-02T09:00:00Z">
                <w:r>
                  <w:rPr>
                    <w:rStyle w:val="IndexLink"/>
                  </w:rPr>
                  <w:delText>17</w:delText>
                </w:r>
              </w:del>
            </w:ins>
            <w:ins w:id="385" w:author="dportz" w:date="2000-08-01T08:07:00Z">
              <w:del w:id="386" w:author="EI" w:date="2000-08-01T09:12:00Z">
                <w:r>
                  <w:rPr>
                    <w:rStyle w:val="IndexLink"/>
                  </w:rPr>
                  <w:delText>16</w:delText>
                </w:r>
              </w:del>
            </w:ins>
            <w:ins w:id="387" w:author="Michael J. Curry" w:date="2000-07-31T19:28:00Z">
              <w:del w:id="388" w:author="dportz" w:date="2000-08-01T08:07:00Z">
                <w:r>
                  <w:rPr>
                    <w:rStyle w:val="IndexLink"/>
                  </w:rPr>
                  <w:delText>16</w:delText>
                </w:r>
              </w:del>
            </w:ins>
            <w:del w:id="389" w:author="Michael J. Curry" w:date="2000-07-31T19:28:00Z">
              <w:r>
                <w:rPr>
                  <w:rStyle w:val="IndexLink"/>
                </w:rPr>
                <w:delText>15</w:delText>
              </w:r>
            </w:del>
          </w:hyperlink>
        </w:p>
        <w:p>
          <w:pPr>
            <w:pStyle w:val="TOC2"/>
            <w:tabs>
              <w:tab w:val="left" w:pos="1440" w:leader="none"/>
              <w:tab w:val="left" w:pos="2160" w:leader="none"/>
              <w:tab w:val="right" w:pos="9288" w:leader="dot"/>
            </w:tabs>
            <w:rPr/>
          </w:pPr>
          <w:r>
            <w:rPr/>
            <w:t>Section 5.04</w:t>
            <w:tab/>
            <w:t>[Remedies Upon a Termination.</w:t>
            <w:tab/>
          </w:r>
          <w:hyperlink w:anchor="__RefHeading___Toc489421218">
            <w:ins w:id="390" w:author="Michael J. Curry" w:date="2000-08-02T09:00:00Z">
              <w:r>
                <w:rPr>
                  <w:rStyle w:val="IndexLink"/>
                </w:rPr>
                <w:t>17</w:t>
              </w:r>
            </w:ins>
            <w:ins w:id="391" w:author="EI" w:date="2000-08-01T09:12:00Z">
              <w:del w:id="392" w:author="Michael J. Curry" w:date="2000-08-02T09:00:00Z">
                <w:r>
                  <w:rPr>
                    <w:rStyle w:val="IndexLink"/>
                  </w:rPr>
                  <w:delText>17</w:delText>
                </w:r>
              </w:del>
            </w:ins>
            <w:ins w:id="393" w:author="dportz" w:date="2000-08-01T08:07:00Z">
              <w:del w:id="394" w:author="EI" w:date="2000-08-01T09:12:00Z">
                <w:r>
                  <w:rPr>
                    <w:rStyle w:val="IndexLink"/>
                  </w:rPr>
                  <w:delText>17</w:delText>
                </w:r>
              </w:del>
            </w:ins>
            <w:ins w:id="395" w:author="Michael J. Curry" w:date="2000-07-31T19:28:00Z">
              <w:del w:id="396" w:author="dportz" w:date="2000-08-01T08:07:00Z">
                <w:r>
                  <w:rPr>
                    <w:rStyle w:val="IndexLink"/>
                  </w:rPr>
                  <w:delText>17</w:delText>
                </w:r>
              </w:del>
            </w:ins>
            <w:del w:id="397" w:author="Michael J. Curry" w:date="2000-07-31T19:28:00Z">
              <w:r>
                <w:rPr>
                  <w:rStyle w:val="IndexLink"/>
                </w:rPr>
                <w:delText>16</w:delText>
              </w:r>
            </w:del>
          </w:hyperlink>
        </w:p>
        <w:p>
          <w:pPr>
            <w:pStyle w:val="TOC2"/>
            <w:tabs>
              <w:tab w:val="left" w:pos="1440" w:leader="none"/>
              <w:tab w:val="left" w:pos="2160" w:leader="none"/>
              <w:tab w:val="right" w:pos="9288" w:leader="dot"/>
            </w:tabs>
            <w:rPr/>
          </w:pPr>
          <w:r>
            <w:rPr/>
            <w:t>Section 5.05</w:t>
            <w:tab/>
            <w:t>No Consequential Damages</w:t>
            <w:tab/>
          </w:r>
          <w:hyperlink w:anchor="__RefHeading___Toc489421219">
            <w:ins w:id="398" w:author="Michael J. Curry" w:date="2000-08-02T09:00:00Z">
              <w:r>
                <w:rPr>
                  <w:rStyle w:val="IndexLink"/>
                </w:rPr>
                <w:t>19</w:t>
              </w:r>
            </w:ins>
            <w:ins w:id="399" w:author="EI" w:date="2000-08-01T09:12:00Z">
              <w:del w:id="400" w:author="Michael J. Curry" w:date="2000-08-02T09:00:00Z">
                <w:r>
                  <w:rPr>
                    <w:rStyle w:val="IndexLink"/>
                  </w:rPr>
                  <w:delText>19</w:delText>
                </w:r>
              </w:del>
            </w:ins>
            <w:ins w:id="401" w:author="dportz" w:date="2000-08-01T08:07:00Z">
              <w:del w:id="402" w:author="EI" w:date="2000-08-01T09:12:00Z">
                <w:r>
                  <w:rPr>
                    <w:rStyle w:val="IndexLink"/>
                  </w:rPr>
                  <w:delText>19</w:delText>
                </w:r>
              </w:del>
            </w:ins>
            <w:del w:id="403" w:author="dportz" w:date="2000-08-01T08:07:00Z">
              <w:r>
                <w:rPr>
                  <w:rStyle w:val="IndexLink"/>
                </w:rPr>
                <w:delText>18</w:delText>
              </w:r>
            </w:del>
          </w:hyperlink>
        </w:p>
        <w:p>
          <w:pPr>
            <w:pStyle w:val="TOC1"/>
            <w:rPr/>
          </w:pPr>
          <w:r>
            <w:rPr/>
            <w:t>Article VI. Representations and Warranties</w:t>
            <w:tab/>
          </w:r>
          <w:hyperlink w:anchor="__RefHeading___Toc489421220">
            <w:ins w:id="404" w:author="Michael J. Curry" w:date="2000-08-02T09:00:00Z">
              <w:r>
                <w:rPr>
                  <w:rStyle w:val="IndexLink"/>
                </w:rPr>
                <w:t>19</w:t>
              </w:r>
            </w:ins>
            <w:ins w:id="405" w:author="EI" w:date="2000-08-01T09:12:00Z">
              <w:del w:id="406" w:author="Michael J. Curry" w:date="2000-08-02T09:00:00Z">
                <w:r>
                  <w:rPr>
                    <w:rStyle w:val="IndexLink"/>
                  </w:rPr>
                  <w:delText>19</w:delText>
                </w:r>
              </w:del>
            </w:ins>
            <w:ins w:id="407" w:author="dportz" w:date="2000-08-01T08:07:00Z">
              <w:del w:id="408" w:author="EI" w:date="2000-08-01T09:12:00Z">
                <w:r>
                  <w:rPr>
                    <w:rStyle w:val="IndexLink"/>
                  </w:rPr>
                  <w:delText>19</w:delText>
                </w:r>
              </w:del>
            </w:ins>
            <w:ins w:id="409" w:author="Michael J. Curry" w:date="2000-07-31T19:28:00Z">
              <w:del w:id="410" w:author="dportz" w:date="2000-08-01T08:07:00Z">
                <w:r>
                  <w:rPr>
                    <w:rStyle w:val="IndexLink"/>
                  </w:rPr>
                  <w:delText>19</w:delText>
                </w:r>
              </w:del>
            </w:ins>
            <w:del w:id="411"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6.01</w:t>
            <w:tab/>
            <w:t>Representations and Warranties of Seller</w:t>
            <w:tab/>
          </w:r>
          <w:hyperlink w:anchor="__RefHeading___Toc489421221">
            <w:ins w:id="412" w:author="Michael J. Curry" w:date="2000-08-02T09:00:00Z">
              <w:r>
                <w:rPr>
                  <w:rStyle w:val="IndexLink"/>
                </w:rPr>
                <w:t>19</w:t>
              </w:r>
            </w:ins>
            <w:ins w:id="413" w:author="EI" w:date="2000-08-01T09:12:00Z">
              <w:del w:id="414" w:author="Michael J. Curry" w:date="2000-08-02T09:00:00Z">
                <w:r>
                  <w:rPr>
                    <w:rStyle w:val="IndexLink"/>
                  </w:rPr>
                  <w:delText>19</w:delText>
                </w:r>
              </w:del>
            </w:ins>
            <w:ins w:id="415" w:author="dportz" w:date="2000-08-01T08:07:00Z">
              <w:del w:id="416" w:author="EI" w:date="2000-08-01T09:12:00Z">
                <w:r>
                  <w:rPr>
                    <w:rStyle w:val="IndexLink"/>
                  </w:rPr>
                  <w:delText>19</w:delText>
                </w:r>
              </w:del>
            </w:ins>
            <w:ins w:id="417" w:author="Michael J. Curry" w:date="2000-07-31T19:28:00Z">
              <w:del w:id="418" w:author="dportz" w:date="2000-08-01T08:07:00Z">
                <w:r>
                  <w:rPr>
                    <w:rStyle w:val="IndexLink"/>
                  </w:rPr>
                  <w:delText>19</w:delText>
                </w:r>
              </w:del>
            </w:ins>
            <w:del w:id="419" w:author="Michael J. Curry" w:date="2000-07-31T19:28:00Z">
              <w:r>
                <w:rPr>
                  <w:rStyle w:val="IndexLink"/>
                </w:rPr>
                <w:delText>18</w:delText>
              </w:r>
            </w:del>
          </w:hyperlink>
        </w:p>
        <w:p>
          <w:pPr>
            <w:pStyle w:val="TOC2"/>
            <w:tabs>
              <w:tab w:val="left" w:pos="1440" w:leader="none"/>
              <w:tab w:val="left" w:pos="2160" w:leader="none"/>
              <w:tab w:val="right" w:pos="9288" w:leader="dot"/>
            </w:tabs>
            <w:rPr/>
          </w:pPr>
          <w:r>
            <w:rPr/>
            <w:t>Section 6.02</w:t>
            <w:tab/>
            <w:t>Representations and Warranties of Purchaser</w:t>
            <w:tab/>
          </w:r>
          <w:hyperlink w:anchor="__RefHeading___Toc489421222">
            <w:ins w:id="420" w:author="Michael J. Curry" w:date="2000-08-02T09:00:00Z">
              <w:r>
                <w:rPr>
                  <w:rStyle w:val="IndexLink"/>
                </w:rPr>
                <w:t>20</w:t>
              </w:r>
            </w:ins>
            <w:ins w:id="421" w:author="EI" w:date="2000-08-01T09:12:00Z">
              <w:del w:id="422" w:author="Michael J. Curry" w:date="2000-08-02T09:00:00Z">
                <w:r>
                  <w:rPr>
                    <w:rStyle w:val="IndexLink"/>
                  </w:rPr>
                  <w:delText>20</w:delText>
                </w:r>
              </w:del>
            </w:ins>
            <w:ins w:id="423" w:author="dportz" w:date="2000-08-01T08:07:00Z">
              <w:del w:id="424" w:author="EI" w:date="2000-08-01T09:12:00Z">
                <w:r>
                  <w:rPr>
                    <w:rStyle w:val="IndexLink"/>
                  </w:rPr>
                  <w:delText>20</w:delText>
                </w:r>
              </w:del>
            </w:ins>
            <w:del w:id="425" w:author="dportz" w:date="2000-08-01T08:07:00Z">
              <w:r>
                <w:rPr>
                  <w:rStyle w:val="IndexLink"/>
                </w:rPr>
                <w:delText>19</w:delText>
              </w:r>
            </w:del>
          </w:hyperlink>
        </w:p>
        <w:p>
          <w:pPr>
            <w:pStyle w:val="TOC1"/>
            <w:rPr/>
          </w:pPr>
          <w:r>
            <w:rPr/>
            <w:t>Article VII. Security</w:t>
            <w:tab/>
          </w:r>
          <w:hyperlink w:anchor="__RefHeading___Toc489421223">
            <w:ins w:id="426" w:author="Michael J. Curry" w:date="2000-08-02T09:00:00Z">
              <w:r>
                <w:rPr>
                  <w:rStyle w:val="IndexLink"/>
                </w:rPr>
                <w:t>20</w:t>
              </w:r>
            </w:ins>
            <w:ins w:id="427" w:author="EI" w:date="2000-08-01T09:12:00Z">
              <w:del w:id="428" w:author="Michael J. Curry" w:date="2000-08-02T09:00:00Z">
                <w:r>
                  <w:rPr>
                    <w:rStyle w:val="IndexLink"/>
                  </w:rPr>
                  <w:delText>20</w:delText>
                </w:r>
              </w:del>
            </w:ins>
            <w:ins w:id="429" w:author="dportz" w:date="2000-08-01T08:07:00Z">
              <w:del w:id="430" w:author="EI" w:date="2000-08-01T09:12:00Z">
                <w:r>
                  <w:rPr>
                    <w:rStyle w:val="IndexLink"/>
                  </w:rPr>
                  <w:delText>20</w:delText>
                </w:r>
              </w:del>
            </w:ins>
            <w:ins w:id="431" w:author="Michael J. Curry" w:date="2000-07-31T19:28:00Z">
              <w:del w:id="432" w:author="dportz" w:date="2000-08-01T08:07:00Z">
                <w:r>
                  <w:rPr>
                    <w:rStyle w:val="IndexLink"/>
                  </w:rPr>
                  <w:delText>20</w:delText>
                </w:r>
              </w:del>
            </w:ins>
            <w:del w:id="433"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7.01</w:t>
            <w:tab/>
            <w:t>Security Required</w:t>
            <w:tab/>
          </w:r>
          <w:hyperlink w:anchor="__RefHeading___Toc489421224">
            <w:ins w:id="434" w:author="Michael J. Curry" w:date="2000-08-02T09:00:00Z">
              <w:r>
                <w:rPr>
                  <w:rStyle w:val="IndexLink"/>
                </w:rPr>
                <w:t>20</w:t>
              </w:r>
            </w:ins>
            <w:ins w:id="435" w:author="EI" w:date="2000-08-01T09:12:00Z">
              <w:del w:id="436" w:author="Michael J. Curry" w:date="2000-08-02T09:00:00Z">
                <w:r>
                  <w:rPr>
                    <w:rStyle w:val="IndexLink"/>
                  </w:rPr>
                  <w:delText>20</w:delText>
                </w:r>
              </w:del>
            </w:ins>
            <w:ins w:id="437" w:author="dportz" w:date="2000-08-01T08:07:00Z">
              <w:del w:id="438" w:author="EI" w:date="2000-08-01T09:12:00Z">
                <w:r>
                  <w:rPr>
                    <w:rStyle w:val="IndexLink"/>
                  </w:rPr>
                  <w:delText>20</w:delText>
                </w:r>
              </w:del>
            </w:ins>
            <w:ins w:id="439" w:author="Michael J. Curry" w:date="2000-07-31T19:28:00Z">
              <w:del w:id="440" w:author="dportz" w:date="2000-08-01T08:07:00Z">
                <w:r>
                  <w:rPr>
                    <w:rStyle w:val="IndexLink"/>
                  </w:rPr>
                  <w:delText>20</w:delText>
                </w:r>
              </w:del>
            </w:ins>
            <w:del w:id="441"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7.02</w:t>
            <w:tab/>
            <w:t>Security Amount</w:t>
            <w:tab/>
          </w:r>
          <w:hyperlink w:anchor="__RefHeading___Toc489421225">
            <w:ins w:id="442" w:author="Michael J. Curry" w:date="2000-08-02T09:00:00Z">
              <w:r>
                <w:rPr>
                  <w:rStyle w:val="IndexLink"/>
                </w:rPr>
                <w:t>20</w:t>
              </w:r>
            </w:ins>
            <w:ins w:id="443" w:author="EI" w:date="2000-08-01T09:12:00Z">
              <w:del w:id="444" w:author="Michael J. Curry" w:date="2000-08-02T09:00:00Z">
                <w:r>
                  <w:rPr>
                    <w:rStyle w:val="IndexLink"/>
                  </w:rPr>
                  <w:delText>20</w:delText>
                </w:r>
              </w:del>
            </w:ins>
            <w:ins w:id="445" w:author="dportz" w:date="2000-08-01T08:07:00Z">
              <w:del w:id="446" w:author="EI" w:date="2000-08-01T09:12:00Z">
                <w:r>
                  <w:rPr>
                    <w:rStyle w:val="IndexLink"/>
                  </w:rPr>
                  <w:delText>20</w:delText>
                </w:r>
              </w:del>
            </w:ins>
            <w:ins w:id="447" w:author="Michael J. Curry" w:date="2000-07-31T19:28:00Z">
              <w:del w:id="448" w:author="dportz" w:date="2000-08-01T08:07:00Z">
                <w:r>
                  <w:rPr>
                    <w:rStyle w:val="IndexLink"/>
                  </w:rPr>
                  <w:delText>20</w:delText>
                </w:r>
              </w:del>
            </w:ins>
            <w:del w:id="449"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7.03</w:t>
            <w:tab/>
            <w:t>Form of Security</w:t>
            <w:tab/>
          </w:r>
          <w:hyperlink w:anchor="__RefHeading___Toc489421226">
            <w:ins w:id="450" w:author="Michael J. Curry" w:date="2000-08-02T09:00:00Z">
              <w:r>
                <w:rPr>
                  <w:rStyle w:val="IndexLink"/>
                </w:rPr>
                <w:t>20</w:t>
              </w:r>
            </w:ins>
            <w:ins w:id="451" w:author="EI" w:date="2000-08-01T09:12:00Z">
              <w:del w:id="452" w:author="Michael J. Curry" w:date="2000-08-02T09:00:00Z">
                <w:r>
                  <w:rPr>
                    <w:rStyle w:val="IndexLink"/>
                  </w:rPr>
                  <w:delText>20</w:delText>
                </w:r>
              </w:del>
            </w:ins>
            <w:ins w:id="453" w:author="dportz" w:date="2000-08-01T08:07:00Z">
              <w:del w:id="454" w:author="EI" w:date="2000-08-01T09:12:00Z">
                <w:r>
                  <w:rPr>
                    <w:rStyle w:val="IndexLink"/>
                  </w:rPr>
                  <w:delText>20</w:delText>
                </w:r>
              </w:del>
            </w:ins>
            <w:ins w:id="455" w:author="Michael J. Curry" w:date="2000-07-31T19:28:00Z">
              <w:del w:id="456" w:author="dportz" w:date="2000-08-01T08:07:00Z">
                <w:r>
                  <w:rPr>
                    <w:rStyle w:val="IndexLink"/>
                  </w:rPr>
                  <w:delText>20</w:delText>
                </w:r>
              </w:del>
            </w:ins>
            <w:del w:id="457" w:author="Michael J. Curry" w:date="2000-07-31T19:28:00Z">
              <w:r>
                <w:rPr>
                  <w:rStyle w:val="IndexLink"/>
                </w:rPr>
                <w:delText>19</w:delText>
              </w:r>
            </w:del>
          </w:hyperlink>
        </w:p>
        <w:p>
          <w:pPr>
            <w:pStyle w:val="TOC2"/>
            <w:tabs>
              <w:tab w:val="left" w:pos="1440" w:leader="none"/>
              <w:tab w:val="left" w:pos="2160" w:leader="none"/>
              <w:tab w:val="right" w:pos="9288" w:leader="dot"/>
            </w:tabs>
            <w:rPr/>
          </w:pPr>
          <w:r>
            <w:rPr/>
            <w:t>Section 7.04</w:t>
            <w:tab/>
            <w:t>Renewal of Security</w:t>
            <w:tab/>
          </w:r>
          <w:hyperlink w:anchor="__RefHeading___Toc489421227">
            <w:ins w:id="458" w:author="Michael J. Curry" w:date="2000-08-02T09:00:00Z">
              <w:r>
                <w:rPr>
                  <w:rStyle w:val="IndexLink"/>
                </w:rPr>
                <w:t>21</w:t>
              </w:r>
            </w:ins>
            <w:ins w:id="459" w:author="EI" w:date="2000-08-01T09:12:00Z">
              <w:del w:id="460" w:author="Michael J. Curry" w:date="2000-08-02T09:00:00Z">
                <w:r>
                  <w:rPr>
                    <w:rStyle w:val="IndexLink"/>
                  </w:rPr>
                  <w:delText>21</w:delText>
                </w:r>
              </w:del>
            </w:ins>
            <w:ins w:id="461" w:author="dportz" w:date="2000-08-01T08:07:00Z">
              <w:del w:id="462" w:author="EI" w:date="2000-08-01T09:12:00Z">
                <w:r>
                  <w:rPr>
                    <w:rStyle w:val="IndexLink"/>
                  </w:rPr>
                  <w:delText>21</w:delText>
                </w:r>
              </w:del>
            </w:ins>
            <w:del w:id="463"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7.05</w:t>
            <w:tab/>
            <w:t>Notice of Termination</w:t>
            <w:tab/>
          </w:r>
          <w:hyperlink w:anchor="__RefHeading___Toc489421228">
            <w:ins w:id="464" w:author="Michael J. Curry" w:date="2000-08-02T09:00:00Z">
              <w:r>
                <w:rPr>
                  <w:rStyle w:val="IndexLink"/>
                </w:rPr>
                <w:t>21</w:t>
              </w:r>
            </w:ins>
            <w:ins w:id="465" w:author="EI" w:date="2000-08-01T09:12:00Z">
              <w:del w:id="466" w:author="Michael J. Curry" w:date="2000-08-02T09:00:00Z">
                <w:r>
                  <w:rPr>
                    <w:rStyle w:val="IndexLink"/>
                  </w:rPr>
                  <w:delText>21</w:delText>
                </w:r>
              </w:del>
            </w:ins>
            <w:ins w:id="467" w:author="dportz" w:date="2000-08-01T08:07:00Z">
              <w:del w:id="468" w:author="EI" w:date="2000-08-01T09:12:00Z">
                <w:r>
                  <w:rPr>
                    <w:rStyle w:val="IndexLink"/>
                  </w:rPr>
                  <w:delText>21</w:delText>
                </w:r>
              </w:del>
            </w:ins>
            <w:del w:id="469"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7.06</w:t>
            <w:tab/>
            <w:t>Access to Security</w:t>
            <w:tab/>
          </w:r>
          <w:hyperlink w:anchor="__RefHeading___Toc489421229">
            <w:ins w:id="470" w:author="Michael J. Curry" w:date="2000-08-02T09:00:00Z">
              <w:r>
                <w:rPr>
                  <w:rStyle w:val="IndexLink"/>
                </w:rPr>
                <w:t>21</w:t>
              </w:r>
            </w:ins>
            <w:ins w:id="471" w:author="EI" w:date="2000-08-01T09:12:00Z">
              <w:del w:id="472" w:author="Michael J. Curry" w:date="2000-08-02T09:00:00Z">
                <w:r>
                  <w:rPr>
                    <w:rStyle w:val="IndexLink"/>
                  </w:rPr>
                  <w:delText>21</w:delText>
                </w:r>
              </w:del>
            </w:ins>
            <w:ins w:id="473" w:author="dportz" w:date="2000-08-01T08:07:00Z">
              <w:del w:id="474" w:author="EI" w:date="2000-08-01T09:12:00Z">
                <w:r>
                  <w:rPr>
                    <w:rStyle w:val="IndexLink"/>
                  </w:rPr>
                  <w:delText>21</w:delText>
                </w:r>
              </w:del>
            </w:ins>
            <w:del w:id="475" w:author="dportz" w:date="2000-08-01T08:07:00Z">
              <w:r>
                <w:rPr>
                  <w:rStyle w:val="IndexLink"/>
                </w:rPr>
                <w:delText>20</w:delText>
              </w:r>
            </w:del>
          </w:hyperlink>
        </w:p>
        <w:p>
          <w:pPr>
            <w:pStyle w:val="TOC2"/>
            <w:tabs>
              <w:tab w:val="left" w:pos="1440" w:leader="none"/>
              <w:tab w:val="left" w:pos="2160" w:leader="none"/>
              <w:tab w:val="right" w:pos="9288" w:leader="dot"/>
            </w:tabs>
            <w:rPr/>
          </w:pPr>
          <w:r>
            <w:rPr/>
            <w:t>Section 7.07</w:t>
            <w:tab/>
            <w:t>Protection of Security</w:t>
            <w:tab/>
          </w:r>
          <w:hyperlink w:anchor="__RefHeading___Toc489421230">
            <w:ins w:id="476" w:author="Michael J. Curry" w:date="2000-08-02T09:00:00Z">
              <w:r>
                <w:rPr>
                  <w:rStyle w:val="IndexLink"/>
                </w:rPr>
                <w:t>21</w:t>
              </w:r>
            </w:ins>
            <w:ins w:id="477" w:author="EI" w:date="2000-08-01T09:12:00Z">
              <w:del w:id="478" w:author="Michael J. Curry" w:date="2000-08-02T09:00:00Z">
                <w:r>
                  <w:rPr>
                    <w:rStyle w:val="IndexLink"/>
                  </w:rPr>
                  <w:delText>21</w:delText>
                </w:r>
              </w:del>
            </w:ins>
            <w:ins w:id="479" w:author="dportz" w:date="2000-08-01T08:07:00Z">
              <w:del w:id="480" w:author="EI" w:date="2000-08-01T09:12:00Z">
                <w:r>
                  <w:rPr>
                    <w:rStyle w:val="IndexLink"/>
                  </w:rPr>
                  <w:delText>21</w:delText>
                </w:r>
              </w:del>
            </w:ins>
            <w:ins w:id="481" w:author="Michael J. Curry" w:date="2000-07-31T19:28:00Z">
              <w:del w:id="482" w:author="dportz" w:date="2000-08-01T08:07:00Z">
                <w:r>
                  <w:rPr>
                    <w:rStyle w:val="IndexLink"/>
                  </w:rPr>
                  <w:delText>21</w:delText>
                </w:r>
              </w:del>
            </w:ins>
            <w:del w:id="483"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7.08</w:t>
            <w:tab/>
            <w:t>Replacement of Applied Security</w:t>
            <w:tab/>
          </w:r>
          <w:hyperlink w:anchor="__RefHeading___Toc489421231">
            <w:ins w:id="484" w:author="Michael J. Curry" w:date="2000-08-02T09:00:00Z">
              <w:r>
                <w:rPr>
                  <w:rStyle w:val="IndexLink"/>
                </w:rPr>
                <w:t>21</w:t>
              </w:r>
            </w:ins>
            <w:ins w:id="485" w:author="EI" w:date="2000-08-01T09:12:00Z">
              <w:del w:id="486" w:author="Michael J. Curry" w:date="2000-08-02T09:00:00Z">
                <w:r>
                  <w:rPr>
                    <w:rStyle w:val="IndexLink"/>
                  </w:rPr>
                  <w:delText>21</w:delText>
                </w:r>
              </w:del>
            </w:ins>
            <w:ins w:id="487" w:author="dportz" w:date="2000-08-01T08:07:00Z">
              <w:del w:id="488" w:author="EI" w:date="2000-08-01T09:12:00Z">
                <w:r>
                  <w:rPr>
                    <w:rStyle w:val="IndexLink"/>
                  </w:rPr>
                  <w:delText>21</w:delText>
                </w:r>
              </w:del>
            </w:ins>
            <w:ins w:id="489" w:author="Michael J. Curry" w:date="2000-07-31T19:28:00Z">
              <w:del w:id="490" w:author="dportz" w:date="2000-08-01T08:07:00Z">
                <w:r>
                  <w:rPr>
                    <w:rStyle w:val="IndexLink"/>
                  </w:rPr>
                  <w:delText>21</w:delText>
                </w:r>
              </w:del>
            </w:ins>
            <w:del w:id="491"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7.09</w:t>
            <w:tab/>
            <w:t>Release of Security</w:t>
            <w:tab/>
          </w:r>
          <w:hyperlink w:anchor="__RefHeading___Toc489421232">
            <w:ins w:id="492" w:author="Michael J. Curry" w:date="2000-08-02T09:00:00Z">
              <w:r>
                <w:rPr>
                  <w:rStyle w:val="IndexLink"/>
                </w:rPr>
                <w:t>21</w:t>
              </w:r>
            </w:ins>
            <w:ins w:id="493" w:author="EI" w:date="2000-08-01T09:12:00Z">
              <w:del w:id="494" w:author="Michael J. Curry" w:date="2000-08-02T09:00:00Z">
                <w:r>
                  <w:rPr>
                    <w:rStyle w:val="IndexLink"/>
                  </w:rPr>
                  <w:delText>22</w:delText>
                </w:r>
              </w:del>
            </w:ins>
            <w:ins w:id="495" w:author="dportz" w:date="2000-08-01T08:07:00Z">
              <w:del w:id="496" w:author="EI" w:date="2000-08-01T09:12:00Z">
                <w:r>
                  <w:rPr>
                    <w:rStyle w:val="IndexLink"/>
                  </w:rPr>
                  <w:delText>21</w:delText>
                </w:r>
              </w:del>
            </w:ins>
            <w:ins w:id="497" w:author="Michael J. Curry" w:date="2000-07-31T19:28:00Z">
              <w:del w:id="498" w:author="dportz" w:date="2000-08-01T08:07:00Z">
                <w:r>
                  <w:rPr>
                    <w:rStyle w:val="IndexLink"/>
                  </w:rPr>
                  <w:delText>21</w:delText>
                </w:r>
              </w:del>
            </w:ins>
            <w:del w:id="499" w:author="Michael J. Curry" w:date="2000-07-31T19:28:00Z">
              <w:r>
                <w:rPr>
                  <w:rStyle w:val="IndexLink"/>
                </w:rPr>
                <w:delText>20</w:delText>
              </w:r>
            </w:del>
          </w:hyperlink>
        </w:p>
        <w:p>
          <w:pPr>
            <w:pStyle w:val="TOC2"/>
            <w:tabs>
              <w:tab w:val="left" w:pos="1440" w:leader="none"/>
              <w:tab w:val="left" w:pos="2160" w:leader="none"/>
              <w:tab w:val="right" w:pos="9288" w:leader="dot"/>
            </w:tabs>
            <w:rPr/>
          </w:pPr>
          <w:r>
            <w:rPr/>
            <w:t>Section 7.10</w:t>
            <w:tab/>
            <w:t>Survival</w:t>
            <w:tab/>
          </w:r>
          <w:hyperlink w:anchor="__RefHeading___Toc489421233">
            <w:ins w:id="500" w:author="Michael J. Curry" w:date="2000-08-02T09:00:00Z">
              <w:r>
                <w:rPr>
                  <w:rStyle w:val="IndexLink"/>
                </w:rPr>
                <w:t>22</w:t>
              </w:r>
            </w:ins>
            <w:ins w:id="501" w:author="EI" w:date="2000-08-01T09:12:00Z">
              <w:del w:id="502" w:author="Michael J. Curry" w:date="2000-08-02T09:00:00Z">
                <w:r>
                  <w:rPr>
                    <w:rStyle w:val="IndexLink"/>
                  </w:rPr>
                  <w:delText>22</w:delText>
                </w:r>
              </w:del>
            </w:ins>
            <w:ins w:id="503" w:author="dportz" w:date="2000-08-01T08:07:00Z">
              <w:del w:id="504" w:author="EI" w:date="2000-08-01T09:12:00Z">
                <w:r>
                  <w:rPr>
                    <w:rStyle w:val="IndexLink"/>
                  </w:rPr>
                  <w:delText>22</w:delText>
                </w:r>
              </w:del>
            </w:ins>
            <w:del w:id="505" w:author="dportz" w:date="2000-08-01T08:07:00Z">
              <w:r>
                <w:rPr>
                  <w:rStyle w:val="IndexLink"/>
                </w:rPr>
                <w:delText>21</w:delText>
              </w:r>
            </w:del>
          </w:hyperlink>
        </w:p>
        <w:p>
          <w:pPr>
            <w:pStyle w:val="TOC1"/>
            <w:rPr/>
          </w:pPr>
          <w:r>
            <w:rPr/>
            <w:t>Article VIII. Confidentiality</w:t>
            <w:tab/>
          </w:r>
          <w:hyperlink w:anchor="__RefHeading___Toc489421234">
            <w:ins w:id="506" w:author="Michael J. Curry" w:date="2000-08-02T09:00:00Z">
              <w:r>
                <w:rPr>
                  <w:rStyle w:val="IndexLink"/>
                </w:rPr>
                <w:t>22</w:t>
              </w:r>
            </w:ins>
            <w:ins w:id="507" w:author="EI" w:date="2000-08-01T09:12:00Z">
              <w:del w:id="508" w:author="Michael J. Curry" w:date="2000-08-02T09:00:00Z">
                <w:r>
                  <w:rPr>
                    <w:rStyle w:val="IndexLink"/>
                  </w:rPr>
                  <w:delText>22</w:delText>
                </w:r>
              </w:del>
            </w:ins>
            <w:ins w:id="509" w:author="dportz" w:date="2000-08-01T08:07:00Z">
              <w:del w:id="510" w:author="EI" w:date="2000-08-01T09:12:00Z">
                <w:r>
                  <w:rPr>
                    <w:rStyle w:val="IndexLink"/>
                  </w:rPr>
                  <w:delText>22</w:delText>
                </w:r>
              </w:del>
            </w:ins>
            <w:del w:id="511"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8.01</w:t>
            <w:tab/>
            <w:t>Scope</w:t>
            <w:tab/>
          </w:r>
          <w:hyperlink w:anchor="__RefHeading___Toc489421235">
            <w:ins w:id="512" w:author="Michael J. Curry" w:date="2000-08-02T09:00:00Z">
              <w:r>
                <w:rPr>
                  <w:rStyle w:val="IndexLink"/>
                </w:rPr>
                <w:t>22</w:t>
              </w:r>
            </w:ins>
            <w:ins w:id="513" w:author="EI" w:date="2000-08-01T09:12:00Z">
              <w:del w:id="514" w:author="Michael J. Curry" w:date="2000-08-02T09:00:00Z">
                <w:r>
                  <w:rPr>
                    <w:rStyle w:val="IndexLink"/>
                  </w:rPr>
                  <w:delText>22</w:delText>
                </w:r>
              </w:del>
            </w:ins>
            <w:ins w:id="515" w:author="dportz" w:date="2000-08-01T08:07:00Z">
              <w:del w:id="516" w:author="EI" w:date="2000-08-01T09:12:00Z">
                <w:r>
                  <w:rPr>
                    <w:rStyle w:val="IndexLink"/>
                  </w:rPr>
                  <w:delText>22</w:delText>
                </w:r>
              </w:del>
            </w:ins>
            <w:del w:id="517" w:author="dportz" w:date="2000-08-01T08:07:00Z">
              <w:r>
                <w:rPr>
                  <w:rStyle w:val="IndexLink"/>
                </w:rPr>
                <w:delText>21</w:delText>
              </w:r>
            </w:del>
          </w:hyperlink>
        </w:p>
        <w:p>
          <w:pPr>
            <w:pStyle w:val="TOC2"/>
            <w:tabs>
              <w:tab w:val="left" w:pos="1440" w:leader="none"/>
              <w:tab w:val="left" w:pos="2160" w:leader="none"/>
              <w:tab w:val="right" w:pos="9288" w:leader="dot"/>
            </w:tabs>
            <w:rPr/>
          </w:pPr>
          <w:r>
            <w:rPr/>
            <w:t>Section 8.02</w:t>
            <w:tab/>
            <w:t>Confidential</w:t>
            <w:tab/>
          </w:r>
          <w:hyperlink w:anchor="__RefHeading___Toc489421236">
            <w:ins w:id="518" w:author="Michael J. Curry" w:date="2000-08-02T09:00:00Z">
              <w:r>
                <w:rPr>
                  <w:rStyle w:val="IndexLink"/>
                </w:rPr>
                <w:t>22</w:t>
              </w:r>
            </w:ins>
            <w:ins w:id="519" w:author="EI" w:date="2000-08-01T09:12:00Z">
              <w:del w:id="520" w:author="Michael J. Curry" w:date="2000-08-02T09:00:00Z">
                <w:r>
                  <w:rPr>
                    <w:rStyle w:val="IndexLink"/>
                  </w:rPr>
                  <w:delText>22</w:delText>
                </w:r>
              </w:del>
            </w:ins>
            <w:ins w:id="521" w:author="dportz" w:date="2000-08-01T08:07:00Z">
              <w:del w:id="522" w:author="EI" w:date="2000-08-01T09:12:00Z">
                <w:r>
                  <w:rPr>
                    <w:rStyle w:val="IndexLink"/>
                  </w:rPr>
                  <w:delText>22</w:delText>
                </w:r>
              </w:del>
            </w:ins>
            <w:ins w:id="523" w:author="Michael J. Curry" w:date="2000-07-31T19:28:00Z">
              <w:del w:id="524" w:author="dportz" w:date="2000-08-01T08:07:00Z">
                <w:r>
                  <w:rPr>
                    <w:rStyle w:val="IndexLink"/>
                  </w:rPr>
                  <w:delText>22</w:delText>
                </w:r>
              </w:del>
            </w:ins>
            <w:del w:id="525"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8.03</w:t>
            <w:tab/>
            <w:t>Exceptions</w:t>
            <w:tab/>
          </w:r>
          <w:hyperlink w:anchor="__RefHeading___Toc489421237">
            <w:ins w:id="526" w:author="Michael J. Curry" w:date="2000-08-02T09:00:00Z">
              <w:r>
                <w:rPr>
                  <w:rStyle w:val="IndexLink"/>
                </w:rPr>
                <w:t>22</w:t>
              </w:r>
            </w:ins>
            <w:ins w:id="527" w:author="EI" w:date="2000-08-01T09:12:00Z">
              <w:del w:id="528" w:author="Michael J. Curry" w:date="2000-08-02T09:00:00Z">
                <w:r>
                  <w:rPr>
                    <w:rStyle w:val="IndexLink"/>
                  </w:rPr>
                  <w:delText>23</w:delText>
                </w:r>
              </w:del>
            </w:ins>
            <w:ins w:id="529" w:author="dportz" w:date="2000-08-01T08:07:00Z">
              <w:del w:id="530" w:author="EI" w:date="2000-08-01T09:12:00Z">
                <w:r>
                  <w:rPr>
                    <w:rStyle w:val="IndexLink"/>
                  </w:rPr>
                  <w:delText>22</w:delText>
                </w:r>
              </w:del>
            </w:ins>
            <w:ins w:id="531" w:author="Michael J. Curry" w:date="2000-07-31T19:28:00Z">
              <w:del w:id="532" w:author="dportz" w:date="2000-08-01T08:07:00Z">
                <w:r>
                  <w:rPr>
                    <w:rStyle w:val="IndexLink"/>
                  </w:rPr>
                  <w:delText>22</w:delText>
                </w:r>
              </w:del>
            </w:ins>
            <w:del w:id="533" w:author="Michael J. Curry" w:date="2000-07-31T19:28:00Z">
              <w:r>
                <w:rPr>
                  <w:rStyle w:val="IndexLink"/>
                </w:rPr>
                <w:delText>21</w:delText>
              </w:r>
            </w:del>
          </w:hyperlink>
        </w:p>
        <w:p>
          <w:pPr>
            <w:pStyle w:val="TOC2"/>
            <w:tabs>
              <w:tab w:val="left" w:pos="1440" w:leader="none"/>
              <w:tab w:val="left" w:pos="2160" w:leader="none"/>
              <w:tab w:val="right" w:pos="9288" w:leader="dot"/>
            </w:tabs>
            <w:rPr/>
          </w:pPr>
          <w:r>
            <w:rPr/>
            <w:t>Section 8.04</w:t>
            <w:tab/>
            <w:t>Specific Performance</w:t>
            <w:tab/>
          </w:r>
          <w:hyperlink w:anchor="__RefHeading___Toc489421238">
            <w:ins w:id="534" w:author="Michael J. Curry" w:date="2000-08-02T09:00:00Z">
              <w:r>
                <w:rPr>
                  <w:rStyle w:val="IndexLink"/>
                </w:rPr>
                <w:t>23</w:t>
              </w:r>
            </w:ins>
            <w:ins w:id="535" w:author="EI" w:date="2000-08-01T09:12:00Z">
              <w:del w:id="536" w:author="Michael J. Curry" w:date="2000-08-02T09:00:00Z">
                <w:r>
                  <w:rPr>
                    <w:rStyle w:val="IndexLink"/>
                  </w:rPr>
                  <w:delText>23</w:delText>
                </w:r>
              </w:del>
            </w:ins>
            <w:ins w:id="537" w:author="dportz" w:date="2000-08-01T08:07:00Z">
              <w:del w:id="538" w:author="EI" w:date="2000-08-01T09:12:00Z">
                <w:r>
                  <w:rPr>
                    <w:rStyle w:val="IndexLink"/>
                  </w:rPr>
                  <w:delText>23</w:delText>
                </w:r>
              </w:del>
            </w:ins>
            <w:ins w:id="539" w:author="Michael J. Curry" w:date="2000-07-31T19:28:00Z">
              <w:del w:id="540" w:author="dportz" w:date="2000-08-01T08:07:00Z">
                <w:r>
                  <w:rPr>
                    <w:rStyle w:val="IndexLink"/>
                  </w:rPr>
                  <w:delText>23</w:delText>
                </w:r>
              </w:del>
            </w:ins>
            <w:del w:id="541" w:author="Michael J. Curry" w:date="2000-07-31T19:28:00Z">
              <w:r>
                <w:rPr>
                  <w:rStyle w:val="IndexLink"/>
                </w:rPr>
                <w:delText>22</w:delText>
              </w:r>
            </w:del>
          </w:hyperlink>
        </w:p>
        <w:p>
          <w:pPr>
            <w:pStyle w:val="TOC1"/>
            <w:rPr/>
          </w:pPr>
          <w:r>
            <w:rPr/>
            <w:t>Article IX. Miscellaneous</w:t>
            <w:tab/>
          </w:r>
          <w:hyperlink w:anchor="__RefHeading___Toc489421239">
            <w:ins w:id="542" w:author="Michael J. Curry" w:date="2000-08-02T09:00:00Z">
              <w:r>
                <w:rPr>
                  <w:rStyle w:val="IndexLink"/>
                </w:rPr>
                <w:t>23</w:t>
              </w:r>
            </w:ins>
            <w:ins w:id="543" w:author="EI" w:date="2000-08-01T09:12:00Z">
              <w:del w:id="544" w:author="Michael J. Curry" w:date="2000-08-02T09:00:00Z">
                <w:r>
                  <w:rPr>
                    <w:rStyle w:val="IndexLink"/>
                  </w:rPr>
                  <w:delText>24</w:delText>
                </w:r>
              </w:del>
            </w:ins>
            <w:ins w:id="545" w:author="dportz" w:date="2000-08-01T08:07:00Z">
              <w:del w:id="546" w:author="EI" w:date="2000-08-01T09:12:00Z">
                <w:r>
                  <w:rPr>
                    <w:rStyle w:val="IndexLink"/>
                  </w:rPr>
                  <w:delText>23</w:delText>
                </w:r>
              </w:del>
            </w:ins>
            <w:ins w:id="547" w:author="Michael J. Curry" w:date="2000-07-31T19:28:00Z">
              <w:del w:id="548" w:author="dportz" w:date="2000-08-01T08:07:00Z">
                <w:r>
                  <w:rPr>
                    <w:rStyle w:val="IndexLink"/>
                  </w:rPr>
                  <w:delText>23</w:delText>
                </w:r>
              </w:del>
            </w:ins>
            <w:del w:id="549"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9.01</w:t>
            <w:tab/>
            <w:t>Subject to Regulation</w:t>
            <w:tab/>
          </w:r>
          <w:hyperlink w:anchor="__RefHeading___Toc489421240">
            <w:ins w:id="550" w:author="Michael J. Curry" w:date="2000-08-02T09:00:00Z">
              <w:r>
                <w:rPr>
                  <w:rStyle w:val="IndexLink"/>
                </w:rPr>
                <w:t>23</w:t>
              </w:r>
            </w:ins>
            <w:ins w:id="551" w:author="EI" w:date="2000-08-01T09:12:00Z">
              <w:del w:id="552" w:author="Michael J. Curry" w:date="2000-08-02T09:00:00Z">
                <w:r>
                  <w:rPr>
                    <w:rStyle w:val="IndexLink"/>
                  </w:rPr>
                  <w:delText>24</w:delText>
                </w:r>
              </w:del>
            </w:ins>
            <w:ins w:id="553" w:author="dportz" w:date="2000-08-01T08:07:00Z">
              <w:del w:id="554" w:author="EI" w:date="2000-08-01T09:12:00Z">
                <w:r>
                  <w:rPr>
                    <w:rStyle w:val="IndexLink"/>
                  </w:rPr>
                  <w:delText>23</w:delText>
                </w:r>
              </w:del>
            </w:ins>
            <w:ins w:id="555" w:author="Michael J. Curry" w:date="2000-07-31T19:28:00Z">
              <w:del w:id="556" w:author="dportz" w:date="2000-08-01T08:07:00Z">
                <w:r>
                  <w:rPr>
                    <w:rStyle w:val="IndexLink"/>
                  </w:rPr>
                  <w:delText>23</w:delText>
                </w:r>
              </w:del>
            </w:ins>
            <w:del w:id="557" w:author="Michael J. Curry" w:date="2000-07-31T19:28:00Z">
              <w:r>
                <w:rPr>
                  <w:rStyle w:val="IndexLink"/>
                </w:rPr>
                <w:delText>22</w:delText>
              </w:r>
            </w:del>
          </w:hyperlink>
        </w:p>
        <w:p>
          <w:pPr>
            <w:pStyle w:val="TOC2"/>
            <w:tabs>
              <w:tab w:val="left" w:pos="1440" w:leader="none"/>
              <w:tab w:val="left" w:pos="2160" w:leader="none"/>
              <w:tab w:val="right" w:pos="9288" w:leader="dot"/>
            </w:tabs>
            <w:rPr/>
          </w:pPr>
          <w:r>
            <w:rPr/>
            <w:t>Section 9.02</w:t>
            <w:tab/>
            <w:t>Change in Law</w:t>
            <w:tab/>
          </w:r>
          <w:hyperlink w:anchor="__RefHeading___Toc489421241">
            <w:ins w:id="558" w:author="Michael J. Curry" w:date="2000-08-02T09:00:00Z">
              <w:r>
                <w:rPr>
                  <w:rStyle w:val="IndexLink"/>
                </w:rPr>
                <w:t>24</w:t>
              </w:r>
            </w:ins>
            <w:ins w:id="559" w:author="EI" w:date="2000-08-01T09:12:00Z">
              <w:del w:id="560" w:author="Michael J. Curry" w:date="2000-08-02T09:00:00Z">
                <w:r>
                  <w:rPr>
                    <w:rStyle w:val="IndexLink"/>
                  </w:rPr>
                  <w:delText>24</w:delText>
                </w:r>
              </w:del>
            </w:ins>
            <w:ins w:id="561" w:author="dportz" w:date="2000-08-01T08:07:00Z">
              <w:del w:id="562" w:author="EI" w:date="2000-08-01T09:12:00Z">
                <w:r>
                  <w:rPr>
                    <w:rStyle w:val="IndexLink"/>
                  </w:rPr>
                  <w:delText>24</w:delText>
                </w:r>
              </w:del>
            </w:ins>
            <w:del w:id="563"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9.03</w:t>
            <w:tab/>
            <w:t>Assignment</w:t>
            <w:tab/>
          </w:r>
          <w:hyperlink w:anchor="__RefHeading___Toc489421242">
            <w:ins w:id="564" w:author="Michael J. Curry" w:date="2000-08-02T09:00:00Z">
              <w:r>
                <w:rPr>
                  <w:rStyle w:val="IndexLink"/>
                </w:rPr>
                <w:t>24</w:t>
              </w:r>
            </w:ins>
            <w:ins w:id="565" w:author="EI" w:date="2000-08-01T09:12:00Z">
              <w:del w:id="566" w:author="Michael J. Curry" w:date="2000-08-02T09:00:00Z">
                <w:r>
                  <w:rPr>
                    <w:rStyle w:val="IndexLink"/>
                  </w:rPr>
                  <w:delText>24</w:delText>
                </w:r>
              </w:del>
            </w:ins>
            <w:ins w:id="567" w:author="dportz" w:date="2000-08-01T08:07:00Z">
              <w:del w:id="568" w:author="EI" w:date="2000-08-01T09:12:00Z">
                <w:r>
                  <w:rPr>
                    <w:rStyle w:val="IndexLink"/>
                  </w:rPr>
                  <w:delText>24</w:delText>
                </w:r>
              </w:del>
            </w:ins>
            <w:del w:id="569" w:author="dportz" w:date="2000-08-01T08:07:00Z">
              <w:r>
                <w:rPr>
                  <w:rStyle w:val="IndexLink"/>
                </w:rPr>
                <w:delText>23</w:delText>
              </w:r>
            </w:del>
          </w:hyperlink>
        </w:p>
        <w:p>
          <w:pPr>
            <w:pStyle w:val="TOC2"/>
            <w:tabs>
              <w:tab w:val="left" w:pos="1440" w:leader="none"/>
              <w:tab w:val="left" w:pos="2160" w:leader="none"/>
              <w:tab w:val="right" w:pos="9288" w:leader="dot"/>
            </w:tabs>
            <w:rPr/>
          </w:pPr>
          <w:r>
            <w:rPr/>
            <w:t>Section 9.04</w:t>
            <w:tab/>
            <w:t>Time Is of Essence</w:t>
            <w:tab/>
          </w:r>
          <w:hyperlink w:anchor="__RefHeading___Toc489421243">
            <w:ins w:id="570" w:author="Michael J. Curry" w:date="2000-08-02T09:00:00Z">
              <w:r>
                <w:rPr>
                  <w:rStyle w:val="IndexLink"/>
                </w:rPr>
                <w:t>25</w:t>
              </w:r>
            </w:ins>
            <w:ins w:id="571" w:author="EI" w:date="2000-08-01T09:12:00Z">
              <w:del w:id="572" w:author="Michael J. Curry" w:date="2000-08-02T09:00:00Z">
                <w:r>
                  <w:rPr>
                    <w:rStyle w:val="IndexLink"/>
                  </w:rPr>
                  <w:delText>25</w:delText>
                </w:r>
              </w:del>
            </w:ins>
            <w:ins w:id="573" w:author="dportz" w:date="2000-08-01T08:07:00Z">
              <w:del w:id="574" w:author="EI" w:date="2000-08-01T09:12:00Z">
                <w:r>
                  <w:rPr>
                    <w:rStyle w:val="IndexLink"/>
                  </w:rPr>
                  <w:delText>24</w:delText>
                </w:r>
              </w:del>
            </w:ins>
            <w:ins w:id="575" w:author="Michael J. Curry" w:date="2000-07-31T19:28:00Z">
              <w:del w:id="576" w:author="dportz" w:date="2000-08-01T08:07:00Z">
                <w:r>
                  <w:rPr>
                    <w:rStyle w:val="IndexLink"/>
                  </w:rPr>
                  <w:delText>24</w:delText>
                </w:r>
              </w:del>
            </w:ins>
            <w:del w:id="577" w:author="Michael J. Curry" w:date="2000-07-31T19:28:00Z">
              <w:r>
                <w:rPr>
                  <w:rStyle w:val="IndexLink"/>
                </w:rPr>
                <w:delText>23</w:delText>
              </w:r>
            </w:del>
          </w:hyperlink>
        </w:p>
        <w:p>
          <w:pPr>
            <w:pStyle w:val="TOC2"/>
            <w:tabs>
              <w:tab w:val="left" w:pos="1440" w:leader="none"/>
              <w:tab w:val="left" w:pos="2160" w:leader="none"/>
              <w:tab w:val="right" w:pos="9288" w:leader="dot"/>
            </w:tabs>
            <w:rPr/>
          </w:pPr>
          <w:r>
            <w:rPr/>
            <w:t>Section 9.05</w:t>
            <w:tab/>
            <w:t>Notices</w:t>
            <w:tab/>
          </w:r>
          <w:hyperlink w:anchor="__RefHeading___Toc489421244">
            <w:ins w:id="578" w:author="Michael J. Curry" w:date="2000-08-02T09:00:00Z">
              <w:r>
                <w:rPr>
                  <w:rStyle w:val="IndexLink"/>
                </w:rPr>
                <w:t>25</w:t>
              </w:r>
            </w:ins>
            <w:ins w:id="579" w:author="EI" w:date="2000-08-01T09:12:00Z">
              <w:del w:id="580" w:author="Michael J. Curry" w:date="2000-08-02T09:00:00Z">
                <w:r>
                  <w:rPr>
                    <w:rStyle w:val="IndexLink"/>
                  </w:rPr>
                  <w:delText>25</w:delText>
                </w:r>
              </w:del>
            </w:ins>
            <w:ins w:id="581" w:author="dportz" w:date="2000-08-01T08:07:00Z">
              <w:del w:id="582" w:author="EI" w:date="2000-08-01T09:12:00Z">
                <w:r>
                  <w:rPr>
                    <w:rStyle w:val="IndexLink"/>
                  </w:rPr>
                  <w:delText>25</w:delText>
                </w:r>
              </w:del>
            </w:ins>
            <w:del w:id="583" w:author="dportz" w:date="2000-08-01T08:07:00Z">
              <w:r>
                <w:rPr>
                  <w:rStyle w:val="IndexLink"/>
                </w:rPr>
                <w:delText>24</w:delText>
              </w:r>
            </w:del>
          </w:hyperlink>
        </w:p>
        <w:p>
          <w:pPr>
            <w:pStyle w:val="TOC2"/>
            <w:tabs>
              <w:tab w:val="left" w:pos="1440" w:leader="none"/>
              <w:tab w:val="left" w:pos="2160" w:leader="none"/>
              <w:tab w:val="right" w:pos="9288" w:leader="dot"/>
            </w:tabs>
            <w:rPr/>
          </w:pPr>
          <w:r>
            <w:rPr/>
            <w:t>Section 9.06</w:t>
            <w:tab/>
            <w:t>No Rights of Third Parties</w:t>
            <w:tab/>
          </w:r>
          <w:hyperlink w:anchor="__RefHeading___Toc489421245">
            <w:ins w:id="584" w:author="Michael J. Curry" w:date="2000-08-02T09:00:00Z">
              <w:r>
                <w:rPr>
                  <w:rStyle w:val="IndexLink"/>
                </w:rPr>
                <w:t>26</w:t>
              </w:r>
            </w:ins>
            <w:ins w:id="585" w:author="EI" w:date="2000-08-01T09:12:00Z">
              <w:del w:id="586" w:author="Michael J. Curry" w:date="2000-08-02T09:00:00Z">
                <w:r>
                  <w:rPr>
                    <w:rStyle w:val="IndexLink"/>
                  </w:rPr>
                  <w:delText>26</w:delText>
                </w:r>
              </w:del>
            </w:ins>
            <w:ins w:id="587" w:author="dportz" w:date="2000-08-01T08:07:00Z">
              <w:del w:id="588" w:author="EI" w:date="2000-08-01T09:12:00Z">
                <w:r>
                  <w:rPr>
                    <w:rStyle w:val="IndexLink"/>
                  </w:rPr>
                  <w:delText>26</w:delText>
                </w:r>
              </w:del>
            </w:ins>
            <w:ins w:id="589" w:author="Michael J. Curry" w:date="2000-07-31T19:28:00Z">
              <w:del w:id="590" w:author="dportz" w:date="2000-08-01T08:07:00Z">
                <w:r>
                  <w:rPr>
                    <w:rStyle w:val="IndexLink"/>
                  </w:rPr>
                  <w:delText>26</w:delText>
                </w:r>
              </w:del>
            </w:ins>
            <w:del w:id="591"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9.07</w:t>
            <w:tab/>
            <w:t>Subject to Applicable Laws</w:t>
            <w:tab/>
          </w:r>
          <w:hyperlink w:anchor="__RefHeading___Toc489421246">
            <w:ins w:id="592" w:author="Michael J. Curry" w:date="2000-08-02T09:00:00Z">
              <w:r>
                <w:rPr>
                  <w:rStyle w:val="IndexLink"/>
                </w:rPr>
                <w:t>27</w:t>
              </w:r>
            </w:ins>
            <w:ins w:id="593" w:author="EI" w:date="2000-08-01T09:12:00Z">
              <w:del w:id="594" w:author="Michael J. Curry" w:date="2000-08-02T09:00:00Z">
                <w:r>
                  <w:rPr>
                    <w:rStyle w:val="IndexLink"/>
                  </w:rPr>
                  <w:delText>26</w:delText>
                </w:r>
              </w:del>
            </w:ins>
            <w:ins w:id="595" w:author="dportz" w:date="2000-08-01T08:07:00Z">
              <w:del w:id="596" w:author="EI" w:date="2000-08-01T09:12:00Z">
                <w:r>
                  <w:rPr>
                    <w:rStyle w:val="IndexLink"/>
                  </w:rPr>
                  <w:delText>26</w:delText>
                </w:r>
              </w:del>
            </w:ins>
            <w:ins w:id="597" w:author="Michael J. Curry" w:date="2000-07-31T19:28:00Z">
              <w:del w:id="598" w:author="dportz" w:date="2000-08-01T08:07:00Z">
                <w:r>
                  <w:rPr>
                    <w:rStyle w:val="IndexLink"/>
                  </w:rPr>
                  <w:delText>26</w:delText>
                </w:r>
              </w:del>
            </w:ins>
            <w:del w:id="599"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9.08</w:t>
            <w:tab/>
            <w:t>No Special Relationship</w:t>
            <w:tab/>
          </w:r>
          <w:hyperlink w:anchor="__RefHeading___Toc489421247">
            <w:ins w:id="600" w:author="Michael J. Curry" w:date="2000-08-02T09:00:00Z">
              <w:r>
                <w:rPr>
                  <w:rStyle w:val="IndexLink"/>
                </w:rPr>
                <w:t>27</w:t>
              </w:r>
            </w:ins>
            <w:ins w:id="601" w:author="EI" w:date="2000-08-01T09:12:00Z">
              <w:del w:id="602" w:author="Michael J. Curry" w:date="2000-08-02T09:00:00Z">
                <w:r>
                  <w:rPr>
                    <w:rStyle w:val="IndexLink"/>
                  </w:rPr>
                  <w:delText>27</w:delText>
                </w:r>
              </w:del>
            </w:ins>
            <w:ins w:id="603" w:author="dportz" w:date="2000-08-01T08:07:00Z">
              <w:del w:id="604" w:author="EI" w:date="2000-08-01T09:12:00Z">
                <w:r>
                  <w:rPr>
                    <w:rStyle w:val="IndexLink"/>
                  </w:rPr>
                  <w:delText>26</w:delText>
                </w:r>
              </w:del>
            </w:ins>
            <w:ins w:id="605" w:author="Michael J. Curry" w:date="2000-07-31T19:28:00Z">
              <w:del w:id="606" w:author="dportz" w:date="2000-08-01T08:07:00Z">
                <w:r>
                  <w:rPr>
                    <w:rStyle w:val="IndexLink"/>
                  </w:rPr>
                  <w:delText>26</w:delText>
                </w:r>
              </w:del>
            </w:ins>
            <w:del w:id="607"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9.09</w:t>
            <w:tab/>
            <w:t>Amendment</w:t>
            <w:tab/>
          </w:r>
          <w:hyperlink w:anchor="__RefHeading___Toc489421248">
            <w:ins w:id="608" w:author="Michael J. Curry" w:date="2000-08-02T09:00:00Z">
              <w:r>
                <w:rPr>
                  <w:rStyle w:val="IndexLink"/>
                </w:rPr>
                <w:t>27</w:t>
              </w:r>
            </w:ins>
            <w:ins w:id="609" w:author="EI" w:date="2000-08-01T09:12:00Z">
              <w:del w:id="610" w:author="Michael J. Curry" w:date="2000-08-02T09:00:00Z">
                <w:r>
                  <w:rPr>
                    <w:rStyle w:val="IndexLink"/>
                  </w:rPr>
                  <w:delText>27</w:delText>
                </w:r>
              </w:del>
            </w:ins>
            <w:ins w:id="611" w:author="dportz" w:date="2000-08-01T08:07:00Z">
              <w:del w:id="612" w:author="EI" w:date="2000-08-01T09:12:00Z">
                <w:r>
                  <w:rPr>
                    <w:rStyle w:val="IndexLink"/>
                  </w:rPr>
                  <w:delText>26</w:delText>
                </w:r>
              </w:del>
            </w:ins>
            <w:ins w:id="613" w:author="Michael J. Curry" w:date="2000-07-31T19:28:00Z">
              <w:del w:id="614" w:author="dportz" w:date="2000-08-01T08:07:00Z">
                <w:r>
                  <w:rPr>
                    <w:rStyle w:val="IndexLink"/>
                  </w:rPr>
                  <w:delText>26</w:delText>
                </w:r>
              </w:del>
            </w:ins>
            <w:del w:id="615" w:author="Michael J. Curry" w:date="2000-07-31T19:28:00Z">
              <w:r>
                <w:rPr>
                  <w:rStyle w:val="IndexLink"/>
                </w:rPr>
                <w:delText>25</w:delText>
              </w:r>
            </w:del>
          </w:hyperlink>
        </w:p>
        <w:p>
          <w:pPr>
            <w:pStyle w:val="TOC2"/>
            <w:tabs>
              <w:tab w:val="left" w:pos="1440" w:leader="none"/>
              <w:tab w:val="left" w:pos="2160" w:leader="none"/>
              <w:tab w:val="right" w:pos="9288" w:leader="dot"/>
            </w:tabs>
            <w:rPr/>
          </w:pPr>
          <w:r>
            <w:rPr/>
            <w:t>Section 9.10</w:t>
            <w:tab/>
            <w:t>No Waiver</w:t>
            <w:tab/>
          </w:r>
          <w:hyperlink w:anchor="__RefHeading___Toc489421249">
            <w:ins w:id="616" w:author="Michael J. Curry" w:date="2000-08-02T09:00:00Z">
              <w:r>
                <w:rPr>
                  <w:rStyle w:val="IndexLink"/>
                </w:rPr>
                <w:t>27</w:t>
              </w:r>
            </w:ins>
            <w:ins w:id="617" w:author="EI" w:date="2000-08-01T09:12:00Z">
              <w:del w:id="618" w:author="Michael J. Curry" w:date="2000-08-02T09:00:00Z">
                <w:r>
                  <w:rPr>
                    <w:rStyle w:val="IndexLink"/>
                  </w:rPr>
                  <w:delText>27</w:delText>
                </w:r>
              </w:del>
            </w:ins>
            <w:ins w:id="619" w:author="dportz" w:date="2000-08-01T08:07:00Z">
              <w:del w:id="620" w:author="EI" w:date="2000-08-01T09:12:00Z">
                <w:r>
                  <w:rPr>
                    <w:rStyle w:val="IndexLink"/>
                  </w:rPr>
                  <w:delText>27</w:delText>
                </w:r>
              </w:del>
            </w:ins>
            <w:del w:id="621"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9.11</w:t>
            <w:tab/>
            <w:t>Captions</w:t>
            <w:tab/>
          </w:r>
          <w:hyperlink w:anchor="__RefHeading___Toc489421250">
            <w:ins w:id="622" w:author="Michael J. Curry" w:date="2000-08-02T09:00:00Z">
              <w:r>
                <w:rPr>
                  <w:rStyle w:val="IndexLink"/>
                </w:rPr>
                <w:t>27</w:t>
              </w:r>
            </w:ins>
            <w:ins w:id="623" w:author="EI" w:date="2000-08-01T09:12:00Z">
              <w:del w:id="624" w:author="Michael J. Curry" w:date="2000-08-02T09:00:00Z">
                <w:r>
                  <w:rPr>
                    <w:rStyle w:val="IndexLink"/>
                  </w:rPr>
                  <w:delText>27</w:delText>
                </w:r>
              </w:del>
            </w:ins>
            <w:ins w:id="625" w:author="dportz" w:date="2000-08-01T08:07:00Z">
              <w:del w:id="626" w:author="EI" w:date="2000-08-01T09:12:00Z">
                <w:r>
                  <w:rPr>
                    <w:rStyle w:val="IndexLink"/>
                  </w:rPr>
                  <w:delText>27</w:delText>
                </w:r>
              </w:del>
            </w:ins>
            <w:del w:id="627"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9.12</w:t>
            <w:tab/>
            <w:t>Complete Agreement</w:t>
            <w:tab/>
          </w:r>
          <w:hyperlink w:anchor="__RefHeading___Toc489421251">
            <w:ins w:id="628" w:author="Michael J. Curry" w:date="2000-08-02T09:00:00Z">
              <w:r>
                <w:rPr>
                  <w:rStyle w:val="IndexLink"/>
                </w:rPr>
                <w:t>27</w:t>
              </w:r>
            </w:ins>
            <w:ins w:id="629" w:author="EI" w:date="2000-08-01T09:12:00Z">
              <w:del w:id="630" w:author="Michael J. Curry" w:date="2000-08-02T09:00:00Z">
                <w:r>
                  <w:rPr>
                    <w:rStyle w:val="IndexLink"/>
                  </w:rPr>
                  <w:delText>27</w:delText>
                </w:r>
              </w:del>
            </w:ins>
            <w:ins w:id="631" w:author="dportz" w:date="2000-08-01T08:07:00Z">
              <w:del w:id="632" w:author="EI" w:date="2000-08-01T09:12:00Z">
                <w:r>
                  <w:rPr>
                    <w:rStyle w:val="IndexLink"/>
                  </w:rPr>
                  <w:delText>27</w:delText>
                </w:r>
              </w:del>
            </w:ins>
            <w:del w:id="633"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9.13</w:t>
            <w:tab/>
            <w:t>Governing Law, Dispute Resolution</w:t>
            <w:tab/>
          </w:r>
          <w:hyperlink w:anchor="__RefHeading___Toc489421252">
            <w:ins w:id="634" w:author="Michael J. Curry" w:date="2000-08-02T09:00:00Z">
              <w:r>
                <w:rPr>
                  <w:rStyle w:val="IndexLink"/>
                </w:rPr>
                <w:t>27</w:t>
              </w:r>
            </w:ins>
            <w:ins w:id="635" w:author="EI" w:date="2000-08-01T09:12:00Z">
              <w:del w:id="636" w:author="Michael J. Curry" w:date="2000-08-02T09:00:00Z">
                <w:r>
                  <w:rPr>
                    <w:rStyle w:val="IndexLink"/>
                  </w:rPr>
                  <w:delText>27</w:delText>
                </w:r>
              </w:del>
            </w:ins>
            <w:ins w:id="637" w:author="dportz" w:date="2000-08-01T08:07:00Z">
              <w:del w:id="638" w:author="EI" w:date="2000-08-01T09:12:00Z">
                <w:r>
                  <w:rPr>
                    <w:rStyle w:val="IndexLink"/>
                  </w:rPr>
                  <w:delText>27</w:delText>
                </w:r>
              </w:del>
            </w:ins>
            <w:del w:id="639" w:author="dportz" w:date="2000-08-01T08:07:00Z">
              <w:r>
                <w:rPr>
                  <w:rStyle w:val="IndexLink"/>
                </w:rPr>
                <w:delText>26</w:delText>
              </w:r>
            </w:del>
          </w:hyperlink>
        </w:p>
        <w:p>
          <w:pPr>
            <w:pStyle w:val="TOC2"/>
            <w:tabs>
              <w:tab w:val="left" w:pos="1440" w:leader="none"/>
              <w:tab w:val="left" w:pos="2160" w:leader="none"/>
              <w:tab w:val="right" w:pos="9288" w:leader="dot"/>
            </w:tabs>
            <w:rPr/>
          </w:pPr>
          <w:r>
            <w:rPr/>
            <w:t>Section 9.14</w:t>
            <w:tab/>
            <w:t>Severability</w:t>
            <w:tab/>
          </w:r>
          <w:hyperlink w:anchor="__RefHeading___Toc489421253">
            <w:ins w:id="640" w:author="Michael J. Curry" w:date="2000-08-02T09:00:00Z">
              <w:r>
                <w:rPr>
                  <w:rStyle w:val="IndexLink"/>
                </w:rPr>
                <w:t>28</w:t>
              </w:r>
            </w:ins>
            <w:ins w:id="641" w:author="EI" w:date="2000-08-01T09:12:00Z">
              <w:del w:id="642" w:author="Michael J. Curry" w:date="2000-08-02T09:00:00Z">
                <w:r>
                  <w:rPr>
                    <w:rStyle w:val="IndexLink"/>
                  </w:rPr>
                  <w:delText>28</w:delText>
                </w:r>
              </w:del>
            </w:ins>
            <w:ins w:id="643" w:author="dportz" w:date="2000-08-01T08:07:00Z">
              <w:del w:id="644" w:author="EI" w:date="2000-08-01T09:12:00Z">
                <w:r>
                  <w:rPr>
                    <w:rStyle w:val="IndexLink"/>
                  </w:rPr>
                  <w:delText>28</w:delText>
                </w:r>
              </w:del>
            </w:ins>
            <w:del w:id="645"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9.15</w:t>
            <w:tab/>
            <w:t>Exhibits</w:t>
            <w:tab/>
          </w:r>
          <w:hyperlink w:anchor="__RefHeading___Toc489421254">
            <w:ins w:id="646" w:author="Michael J. Curry" w:date="2000-08-02T09:00:00Z">
              <w:r>
                <w:rPr>
                  <w:rStyle w:val="IndexLink"/>
                </w:rPr>
                <w:t>28</w:t>
              </w:r>
            </w:ins>
            <w:ins w:id="647" w:author="EI" w:date="2000-08-01T09:12:00Z">
              <w:del w:id="648" w:author="Michael J. Curry" w:date="2000-08-02T09:00:00Z">
                <w:r>
                  <w:rPr>
                    <w:rStyle w:val="IndexLink"/>
                  </w:rPr>
                  <w:delText>28</w:delText>
                </w:r>
              </w:del>
            </w:ins>
            <w:ins w:id="649" w:author="dportz" w:date="2000-08-01T08:07:00Z">
              <w:del w:id="650" w:author="EI" w:date="2000-08-01T09:12:00Z">
                <w:r>
                  <w:rPr>
                    <w:rStyle w:val="IndexLink"/>
                  </w:rPr>
                  <w:delText>28</w:delText>
                </w:r>
              </w:del>
            </w:ins>
            <w:del w:id="651" w:author="dportz" w:date="2000-08-01T08:07:00Z">
              <w:r>
                <w:rPr>
                  <w:rStyle w:val="IndexLink"/>
                </w:rPr>
                <w:delText>27</w:delText>
              </w:r>
            </w:del>
          </w:hyperlink>
        </w:p>
        <w:p>
          <w:pPr>
            <w:pStyle w:val="TOC2"/>
            <w:tabs>
              <w:tab w:val="left" w:pos="1440" w:leader="none"/>
              <w:tab w:val="left" w:pos="2160" w:leader="none"/>
              <w:tab w:val="right" w:pos="9288" w:leader="dot"/>
            </w:tabs>
            <w:rPr/>
          </w:pPr>
          <w:r>
            <w:rPr/>
            <w:t>Section 9.16</w:t>
            <w:tab/>
            <w:t>Construction</w:t>
            <w:tab/>
          </w:r>
          <w:hyperlink w:anchor="__RefHeading___Toc489421255">
            <w:ins w:id="652" w:author="Michael J. Curry" w:date="2000-08-02T09:00:00Z">
              <w:r>
                <w:rPr>
                  <w:rStyle w:val="IndexLink"/>
                </w:rPr>
                <w:t>28</w:t>
              </w:r>
            </w:ins>
            <w:ins w:id="653" w:author="EI" w:date="2000-08-01T09:12:00Z">
              <w:del w:id="654" w:author="Michael J. Curry" w:date="2000-08-02T09:00:00Z">
                <w:r>
                  <w:rPr>
                    <w:rStyle w:val="IndexLink"/>
                  </w:rPr>
                  <w:delText>28</w:delText>
                </w:r>
              </w:del>
            </w:ins>
            <w:ins w:id="655" w:author="dportz" w:date="2000-08-01T08:07:00Z">
              <w:del w:id="656" w:author="EI" w:date="2000-08-01T09:12:00Z">
                <w:r>
                  <w:rPr>
                    <w:rStyle w:val="IndexLink"/>
                  </w:rPr>
                  <w:delText>28</w:delText>
                </w:r>
              </w:del>
            </w:ins>
            <w:ins w:id="657" w:author="Michael J. Curry" w:date="2000-07-31T19:28:00Z">
              <w:del w:id="658" w:author="dportz" w:date="2000-08-01T08:07:00Z">
                <w:r>
                  <w:rPr>
                    <w:rStyle w:val="IndexLink"/>
                  </w:rPr>
                  <w:delText>28</w:delText>
                </w:r>
              </w:del>
            </w:ins>
            <w:del w:id="659" w:author="Michael J. Curry" w:date="2000-07-31T19:28:00Z">
              <w:r>
                <w:rPr>
                  <w:rStyle w:val="IndexLink"/>
                </w:rPr>
                <w:delText>27</w:delText>
              </w:r>
            </w:del>
          </w:hyperlink>
        </w:p>
        <w:p>
          <w:pPr>
            <w:pStyle w:val="TOC2"/>
            <w:tabs>
              <w:tab w:val="left" w:pos="1440" w:leader="none"/>
              <w:tab w:val="left" w:pos="2160" w:leader="none"/>
              <w:tab w:val="right" w:pos="9288" w:leader="dot"/>
            </w:tabs>
            <w:rPr/>
          </w:pPr>
          <w:r>
            <w:rPr/>
            <w:t>Section 9.17</w:t>
            <w:tab/>
            <w:t>Lender Protection Provisions</w:t>
            <w:tab/>
          </w:r>
          <w:hyperlink w:anchor="__RefHeading___Toc489421256">
            <w:ins w:id="660" w:author="Michael J. Curry" w:date="2000-08-02T09:00:00Z">
              <w:r>
                <w:rPr>
                  <w:rStyle w:val="IndexLink"/>
                </w:rPr>
                <w:t>29</w:t>
              </w:r>
            </w:ins>
            <w:ins w:id="661" w:author="EI" w:date="2000-08-01T09:12:00Z">
              <w:del w:id="662" w:author="Michael J. Curry" w:date="2000-08-02T09:00:00Z">
                <w:r>
                  <w:rPr>
                    <w:rStyle w:val="IndexLink"/>
                  </w:rPr>
                  <w:delText>29</w:delText>
                </w:r>
              </w:del>
            </w:ins>
            <w:ins w:id="663" w:author="dportz" w:date="2000-08-01T08:07:00Z">
              <w:del w:id="664" w:author="EI" w:date="2000-08-01T09:12:00Z">
                <w:r>
                  <w:rPr>
                    <w:rStyle w:val="IndexLink"/>
                  </w:rPr>
                  <w:delText>29</w:delText>
                </w:r>
              </w:del>
            </w:ins>
            <w:del w:id="665" w:author="dportz" w:date="2000-08-01T08:07:00Z">
              <w:r>
                <w:rPr>
                  <w:rStyle w:val="IndexLink"/>
                </w:rPr>
                <w:delText>28</w:delText>
              </w:r>
            </w:del>
          </w:hyperlink>
        </w:p>
        <w:p>
          <w:pPr>
            <w:pStyle w:val="TOC2"/>
            <w:tabs>
              <w:tab w:val="left" w:pos="1440" w:leader="none"/>
              <w:tab w:val="left" w:pos="2160" w:leader="none"/>
              <w:tab w:val="right" w:pos="9288" w:leader="dot"/>
            </w:tabs>
            <w:rPr/>
          </w:pPr>
          <w:r>
            <w:rPr/>
            <w:t>Section 9.18</w:t>
            <w:tab/>
            <w:t>Delivery of Copy of Agreement</w:t>
            <w:tab/>
          </w:r>
          <w:hyperlink w:anchor="__RefHeading___Toc489421257">
            <w:ins w:id="666" w:author="Michael J. Curry" w:date="2000-08-02T09:00:00Z">
              <w:r>
                <w:rPr>
                  <w:rStyle w:val="IndexLink"/>
                </w:rPr>
                <w:t>30</w:t>
              </w:r>
            </w:ins>
            <w:ins w:id="667" w:author="EI" w:date="2000-08-01T09:12:00Z">
              <w:del w:id="668" w:author="Michael J. Curry" w:date="2000-08-02T09:00:00Z">
                <w:r>
                  <w:rPr>
                    <w:rStyle w:val="IndexLink"/>
                  </w:rPr>
                  <w:delText>30</w:delText>
                </w:r>
              </w:del>
            </w:ins>
            <w:ins w:id="669" w:author="dportz" w:date="2000-08-01T08:07:00Z">
              <w:del w:id="670" w:author="EI" w:date="2000-08-01T09:12:00Z">
                <w:r>
                  <w:rPr>
                    <w:rStyle w:val="IndexLink"/>
                  </w:rPr>
                  <w:delText>29</w:delText>
                </w:r>
              </w:del>
            </w:ins>
            <w:ins w:id="671" w:author="Michael J. Curry" w:date="2000-07-31T19:28:00Z">
              <w:del w:id="672" w:author="dportz" w:date="2000-08-01T08:07:00Z">
                <w:r>
                  <w:rPr>
                    <w:rStyle w:val="IndexLink"/>
                  </w:rPr>
                  <w:delText>29</w:delText>
                </w:r>
              </w:del>
            </w:ins>
            <w:del w:id="673" w:author="Michael J. Curry" w:date="2000-07-31T19:28:00Z">
              <w:r>
                <w:rPr>
                  <w:rStyle w:val="IndexLink"/>
                </w:rPr>
                <w:delText>28</w:delText>
              </w:r>
            </w:del>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BodyText"/>
        <w:rPr/>
      </w:pPr>
      <w:r>
        <w:rPr/>
      </w:r>
    </w:p>
    <w:p>
      <w:pPr>
        <w:pStyle w:val="CenteredBold"/>
        <w:spacing w:before="0" w:after="0"/>
        <w:rPr/>
      </w:pPr>
      <w:r>
        <w:rPr/>
        <w:t>EXHIBIT A</w:t>
        <w:br/>
        <w:br/>
        <w:t>Description of Facility</w:t>
      </w:r>
    </w:p>
    <w:p>
      <w:pPr>
        <w:pStyle w:val="Centered"/>
        <w:rPr/>
      </w:pPr>
      <w:r>
        <w:rPr/>
        <w:t>(To be provided by Seller before Start Date.)</w:t>
      </w:r>
      <w:r>
        <w:br w:type="page"/>
      </w:r>
    </w:p>
    <w:p>
      <w:pPr>
        <w:pStyle w:val="CenteredBold"/>
        <w:rPr/>
      </w:pPr>
      <w:r>
        <w:rPr/>
        <w:t>Acknowledgement</w:t>
      </w:r>
    </w:p>
    <w:p>
      <w:pPr>
        <w:pStyle w:val="FlushLeft"/>
        <w:rPr/>
      </w:pPr>
      <w:r>
        <w:rPr/>
        <w:t>State of Texas</w:t>
        <w:br/>
        <w:t>County of __________________</w:t>
      </w:r>
    </w:p>
    <w:p>
      <w:pPr>
        <w:pStyle w:val="BodyText"/>
        <w:rPr/>
      </w:pPr>
      <w:r>
        <w:rPr/>
        <w:t>This instrument was acknowledged before me on _____________ by __________ __________________, ___________________________ of ____________________________, a ____________________, on behalf of said ____________________.</w:t>
      </w:r>
    </w:p>
    <w:p>
      <w:pPr>
        <w:pStyle w:val="BodyTextContinued"/>
        <w:rPr/>
      </w:pPr>
      <w:r>
        <w:rPr>
          <w:u w:val="single"/>
        </w:rPr>
        <w:tab/>
      </w:r>
      <w:r>
        <w:rPr/>
        <w:tab/>
      </w:r>
      <w:r>
        <w:rPr>
          <w:u w:val="single"/>
        </w:rPr>
        <w:tab/>
      </w:r>
      <w:r>
        <w:rPr/>
        <w:br/>
        <w:t>Notary Public</w:t>
      </w:r>
    </w:p>
    <w:p>
      <w:pPr>
        <w:pStyle w:val="BodyTextContinued"/>
        <w:rPr/>
      </w:pPr>
      <w:r>
        <w:rPr>
          <w:u w:val="single"/>
        </w:rPr>
        <w:tab/>
      </w:r>
      <w:r>
        <w:rPr/>
        <w:tab/>
      </w:r>
      <w:r>
        <w:rPr>
          <w:u w:val="single"/>
        </w:rPr>
        <w:tab/>
      </w:r>
      <w:r>
        <w:rPr/>
        <w:br/>
        <w:t>Typed or printed name of notary</w:t>
      </w:r>
    </w:p>
    <w:p>
      <w:pPr>
        <w:pStyle w:val="BodyTextContinued"/>
        <w:rPr/>
      </w:pPr>
      <w:r>
        <w:rPr/>
        <w:t>My commission expires:</w:t>
      </w:r>
      <w:r>
        <w:rPr>
          <w:u w:val="single"/>
        </w:rPr>
        <w:tab/>
      </w:r>
      <w:r>
        <w:rPr/>
        <w:tab/>
        <w:t xml:space="preserve">                                         </w:t>
      </w:r>
      <w:r>
        <w:rPr>
          <w:u w:val="single"/>
        </w:rPr>
        <w:tab/>
      </w:r>
      <w:r>
        <w:br w:type="page"/>
      </w:r>
    </w:p>
    <w:p>
      <w:pPr>
        <w:pStyle w:val="Normal"/>
        <w:jc w:val="center"/>
        <w:rPr>
          <w:u w:val="single"/>
        </w:rPr>
      </w:pPr>
      <w:r>
        <w:rPr>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sz w:val="48"/>
        </w:rPr>
      </w:pPr>
      <w:r>
        <w:rPr>
          <w:b/>
          <w:sz w:val="48"/>
        </w:rPr>
        <w:t>Renewable Energy Purchase Agreement</w:t>
      </w:r>
    </w:p>
    <w:p>
      <w:pPr>
        <w:pStyle w:val="Normal"/>
        <w:jc w:val="center"/>
        <w:rPr>
          <w:b/>
          <w:sz w:val="48"/>
        </w:rPr>
      </w:pPr>
      <w:r>
        <w:rPr>
          <w:b/>
          <w:sz w:val="48"/>
        </w:rPr>
      </w:r>
    </w:p>
    <w:p>
      <w:pPr>
        <w:pStyle w:val="Normal"/>
        <w:jc w:val="center"/>
        <w:rPr>
          <w:b/>
          <w:sz w:val="48"/>
        </w:rPr>
      </w:pPr>
      <w:r>
        <w:rPr>
          <w:b/>
          <w:sz w:val="48"/>
        </w:rPr>
        <w:t>Between</w:t>
      </w:r>
    </w:p>
    <w:p>
      <w:pPr>
        <w:pStyle w:val="Normal"/>
        <w:jc w:val="center"/>
        <w:rPr>
          <w:b/>
          <w:sz w:val="48"/>
        </w:rPr>
      </w:pPr>
      <w:r>
        <w:rPr>
          <w:b/>
          <w:sz w:val="48"/>
        </w:rPr>
      </w:r>
    </w:p>
    <w:p>
      <w:pPr>
        <w:pStyle w:val="Normal"/>
        <w:jc w:val="center"/>
        <w:rPr>
          <w:b/>
          <w:sz w:val="48"/>
        </w:rPr>
      </w:pPr>
      <w:r>
        <w:rPr>
          <w:b/>
          <w:sz w:val="48"/>
        </w:rPr>
        <w:t>Enron Power Marketing Inc.</w:t>
      </w:r>
    </w:p>
    <w:p>
      <w:pPr>
        <w:pStyle w:val="Normal"/>
        <w:jc w:val="center"/>
        <w:rPr>
          <w:b/>
          <w:sz w:val="48"/>
        </w:rPr>
      </w:pPr>
      <w:r>
        <w:rPr>
          <w:b/>
          <w:sz w:val="48"/>
        </w:rPr>
      </w:r>
    </w:p>
    <w:p>
      <w:pPr>
        <w:pStyle w:val="Normal"/>
        <w:jc w:val="center"/>
        <w:rPr>
          <w:b/>
          <w:sz w:val="48"/>
        </w:rPr>
      </w:pPr>
      <w:r>
        <w:rPr>
          <w:b/>
          <w:sz w:val="48"/>
        </w:rPr>
        <w:t>and</w:t>
      </w:r>
    </w:p>
    <w:p>
      <w:pPr>
        <w:pStyle w:val="Normal"/>
        <w:jc w:val="center"/>
        <w:rPr>
          <w:b/>
          <w:sz w:val="48"/>
        </w:rPr>
      </w:pPr>
      <w:r>
        <w:rPr>
          <w:b/>
          <w:sz w:val="48"/>
        </w:rPr>
      </w:r>
    </w:p>
    <w:p>
      <w:pPr>
        <w:pStyle w:val="Normal"/>
        <w:jc w:val="center"/>
        <w:rPr>
          <w:b/>
          <w:sz w:val="48"/>
        </w:rPr>
      </w:pPr>
      <w:r>
        <w:rPr>
          <w:b/>
          <w:sz w:val="48"/>
        </w:rPr>
        <w:t>Indian Mesa Power Partners II L.P.</w:t>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entury Gothic">
    <w:charset w:val="00" w:characterSet="windows-1252"/>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LA1:#6183611v2</w: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July 28,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4">
    <w:lvl w:ilvl="0">
      <w:start w:val="1"/>
      <w:numFmt w:val="decimal"/>
      <w:lvlText w:val="%1.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numFmt w:val="lowerLetter"/>
      <w:lvlText w:val="(%2)   "/>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
      <w:lvlJc w:val="start"/>
      <w:pPr>
        <w:tabs>
          <w:tab w:val="num" w:pos="324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2520"/>
        </w:tabs>
        <w:ind w:start="0" w:firstLine="21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4">
      <w:start w:val="1"/>
      <w:numFmt w:val="lowerLetter"/>
      <w:lvlText w:val="%5."/>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sz w:val="24"/>
        <w:i w:val="false"/>
        <w:shadow w:val="false"/>
        <w:u w:val="none"/>
        <w:b w:val="false"/>
        <w:vanish w:val="false"/>
        <w:rFonts w:ascii="Century Gothic" w:hAnsi="Century Gothic" w:cs="Century Gothic"/>
        <w:color w:val="auto"/>
      </w:rPr>
    </w:lvl>
  </w:abstractNum>
  <w:abstractNum w:abstractNumId="5">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6">
    <w:lvl w:ilvl="0">
      <w:start w:val="1"/>
      <w:numFmt w:val="decimal"/>
      <w:lvlText w:val="%1.  "/>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
      <w:lvlText w:val="%1.%2  "/>
      <w:lvlJc w:val="start"/>
      <w:pPr>
        <w:tabs>
          <w:tab w:val="num" w:pos="1440"/>
        </w:tabs>
        <w:ind w:start="0" w:firstLine="72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isLgl/>
      <w:numFmt w:val="decimal"/>
      <w:lvlText w:val="%1.%2.%3  "/>
      <w:lvlJc w:val="start"/>
      <w:pPr>
        <w:tabs>
          <w:tab w:val="num" w:pos="1728"/>
        </w:tabs>
        <w:ind w:start="1728" w:hanging="1008"/>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1.%2.%3.%4  "/>
      <w:lvlJc w:val="start"/>
      <w:pPr>
        <w:tabs>
          <w:tab w:val="num" w:pos="2880"/>
        </w:tabs>
        <w:ind w:start="2880" w:hanging="1152"/>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decimal"/>
      <w:lvlText w:val="%1.%2.%3.%4.%5"/>
      <w:lvlJc w:val="start"/>
      <w:pPr>
        <w:tabs>
          <w:tab w:val="num" w:pos="4608"/>
        </w:tabs>
        <w:ind w:start="0" w:firstLine="3168"/>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Roman"/>
      <w:lvlText w:val="(%7)"/>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decimal"/>
      <w:lvlText w:val="(%8)"/>
      <w:lvlJc w:val="start"/>
      <w:pPr>
        <w:tabs>
          <w:tab w:val="num" w:pos="252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7"/>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5"/>
      <w:numFmt w:val="upperRoman"/>
      <w:suff w:val="space"/>
      <w:lvlText w:val="Article %1."/>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1">
      <w:start w:val="1"/>
      <w:isLgl/>
      <w:numFmt w:val="decimalZero"/>
      <w:lvlText w:val="Section %1.%2"/>
      <w:lvlJc w:val="start"/>
      <w:pPr>
        <w:tabs>
          <w:tab w:val="num" w:pos="144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Bold" w:hAnsi="Times New Roman Bold" w:cs="Times New Roman Bold"/>
        <w:color w:val="auto"/>
      </w:rPr>
    </w:lvl>
    <w:lvl w:ilvl="2">
      <w:start w:val="1"/>
      <w:numFmt w:val="lowerLetter"/>
      <w:lvlText w:val="(%3)   "/>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decimal"/>
      <w:lvlText w:val="(%6)"/>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lowerLetter"/>
      <w:lvlText w:val="(%7)"/>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zzmpFixedCurrentTOCScheme" w:val="Legal5"/>
    <w:docVar w:name="zzmpFixedCurScheme" w:val="Article"/>
    <w:docVar w:name="zzmpFixedDOC_ID" w:val="LA1:#6183611v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WW8Num13z0">
    <w:name w:val="WW8Num13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0">
    <w:name w:val="WW8Num14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2">
    <w:name w:val="WW8Num14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4">
    <w:name w:val="WW8Num14z4"/>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5z0">
    <w:name w:val="WW8Num15z0"/>
    <w:qFormat/>
    <w:rPr>
      <w:b/>
      <w:u w:val="double"/>
    </w:rPr>
  </w:style>
  <w:style w:type="character" w:styleId="WW8Num16z0">
    <w:name w:val="WW8Num16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1">
    <w:name w:val="WW8Num16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6z3">
    <w:name w:val="WW8Num16z3"/>
    <w:qFormat/>
    <w:rPr>
      <w:rFonts w:ascii="Century Gothic" w:hAnsi="Century Gothic" w:cs="Century Gothic"/>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7z0">
    <w:name w:val="WW8Num17z0"/>
    <w:qFormat/>
    <w:rPr/>
  </w:style>
  <w:style w:type="character" w:styleId="WW8Num19z0">
    <w:name w:val="WW8Num19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19z1">
    <w:name w:val="WW8Num1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9z2">
    <w:name w:val="WW8Num19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21z0">
    <w:name w:val="WW8Num21z0"/>
    <w:qFormat/>
    <w:rPr/>
  </w:style>
  <w:style w:type="character" w:styleId="WW8Num22z0">
    <w:name w:val="WW8Num22z0"/>
    <w:qFormat/>
    <w:rPr>
      <w:rFonts w:ascii="Times New Roman Bold" w:hAnsi="Times New Roman Bold" w:cs="Times New Roman Bold"/>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2z2">
    <w:name w:val="WW8Num22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z0">
    <w:name w:val="WW8Num23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26z1">
    <w:name w:val="WW8Num26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26z2">
    <w:name w:val="WW8Num26z2"/>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6z5">
    <w:name w:val="WW8Num26z5"/>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7z0">
    <w:name w:val="WW8Num27z0"/>
    <w:qFormat/>
    <w:rPr>
      <w:rFonts w:ascii="Symbol" w:hAnsi="Symbol" w:cs="Symbol"/>
    </w:rPr>
  </w:style>
  <w:style w:type="character" w:styleId="DefaultParagraphFont">
    <w:name w:val="Default Paragraph Font"/>
    <w:qFormat/>
    <w:rPr/>
  </w:style>
  <w:style w:type="character" w:styleId="zzmpTrailerItem">
    <w:name w:val="zzmpTrailerItem"/>
    <w:basedOn w:val="DefaultParagraphFont"/>
    <w:qFormat/>
    <w:rPr>
      <w:sz w:val="16"/>
      <w:effect w:val="blinkBackground"/>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bold">
    <w:name w:val="bold"/>
    <w:basedOn w:val="DefaultParagraphFont"/>
    <w:qFormat/>
    <w:rPr>
      <w:b/>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ParagraphNumber">
    <w:name w:val="ParagraphNumber"/>
    <w:basedOn w:val="DefaultParagraphFont"/>
    <w:qFormat/>
    <w:rPr/>
  </w:style>
  <w:style w:type="character" w:styleId="Underlined">
    <w:name w:val="Underlined"/>
    <w:basedOn w:val="DefaultParagraphFont"/>
    <w:qFormat/>
    <w:rPr>
      <w:rFonts w:ascii="Times New Roman" w:hAnsi="Times New Roman" w:cs="Times New Roman"/>
      <w:color w:val="auto"/>
      <w:sz w:val="24"/>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Lines/>
      <w:widowControl w:val="false"/>
      <w:spacing w:lineRule="auto" w:line="360"/>
      <w:jc w:val="center"/>
    </w:pPr>
    <w:rPr>
      <w:b/>
      <w:sz w:val="4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NumContinue">
    <w:name w:val="Num Continue"/>
    <w:basedOn w:val="BodyText"/>
    <w:qFormat/>
    <w:pPr>
      <w:widowControl w:val="false"/>
      <w:spacing w:before="240" w:after="240"/>
    </w:pPr>
    <w:rPr/>
  </w:style>
  <w:style w:type="paragraph" w:styleId="Legal5L1">
    <w:name w:val="Legal5_L1"/>
    <w:next w:val="Footer"/>
    <w:qFormat/>
    <w:pPr>
      <w:keepNext w:val="true"/>
      <w:widowControl/>
      <w:numPr>
        <w:ilvl w:val="0"/>
        <w:numId w:val="6"/>
      </w:numPr>
      <w:bidi w:val="0"/>
      <w:spacing w:before="240" w:after="0"/>
      <w:outlineLvl w:val="0"/>
    </w:pPr>
    <w:rPr>
      <w:rFonts w:ascii="Times New Roman Bold" w:hAnsi="Times New Roman Bold" w:eastAsia="Times New Roman" w:cs="Times New Roman Bold"/>
      <w:b/>
      <w:color w:val="auto"/>
      <w:sz w:val="24"/>
      <w:szCs w:val="20"/>
      <w:lang w:val="en-US" w:bidi="ar-SA" w:eastAsia="zh-CN"/>
    </w:rPr>
  </w:style>
  <w:style w:type="paragraph" w:styleId="Legal5L2">
    <w:name w:val="Legal5_L2"/>
    <w:next w:val="Normal"/>
    <w:qFormat/>
    <w:pPr>
      <w:keepNext w:val="true"/>
      <w:widowControl/>
      <w:numPr>
        <w:ilvl w:val="0"/>
        <w:numId w:val="6"/>
      </w:numPr>
      <w:bidi w:val="0"/>
      <w:spacing w:before="240" w:after="0"/>
      <w:outlineLvl w:val="1"/>
    </w:pPr>
    <w:rPr>
      <w:rFonts w:ascii="Times New Roman Bold" w:hAnsi="Times New Roman Bold" w:eastAsia="Times New Roman" w:cs="Times New Roman Bold"/>
      <w:b/>
      <w:color w:val="auto"/>
      <w:sz w:val="24"/>
      <w:szCs w:val="20"/>
      <w:lang w:val="en-US" w:bidi="ar-SA" w:eastAsia="zh-CN"/>
    </w:rPr>
  </w:style>
  <w:style w:type="paragraph" w:styleId="Legal5L3">
    <w:name w:val="Legal5_L3"/>
    <w:qFormat/>
    <w:pPr>
      <w:widowControl/>
      <w:numPr>
        <w:ilvl w:val="0"/>
        <w:numId w:val="6"/>
      </w:numPr>
      <w:bidi w:val="0"/>
      <w:spacing w:before="240" w:after="0"/>
      <w:outlineLvl w:val="2"/>
    </w:pPr>
    <w:rPr>
      <w:rFonts w:ascii="Times New Roman" w:hAnsi="Times New Roman" w:eastAsia="Times New Roman" w:cs="Times New Roman"/>
      <w:color w:val="auto"/>
      <w:sz w:val="24"/>
      <w:szCs w:val="20"/>
      <w:lang w:val="en-US" w:bidi="ar-SA" w:eastAsia="zh-CN"/>
    </w:rPr>
  </w:style>
  <w:style w:type="paragraph" w:styleId="Legal5L4">
    <w:name w:val="Legal5_L4"/>
    <w:basedOn w:val="Normal"/>
    <w:next w:val="Normal"/>
    <w:qFormat/>
    <w:pPr>
      <w:numPr>
        <w:ilvl w:val="0"/>
        <w:numId w:val="6"/>
      </w:numPr>
      <w:spacing w:before="240" w:after="0"/>
      <w:outlineLvl w:val="3"/>
    </w:pPr>
    <w:rPr/>
  </w:style>
  <w:style w:type="paragraph" w:styleId="Legal5L5">
    <w:name w:val="Legal5_L5"/>
    <w:basedOn w:val="Normal"/>
    <w:next w:val="Normal"/>
    <w:qFormat/>
    <w:pPr>
      <w:numPr>
        <w:ilvl w:val="0"/>
        <w:numId w:val="6"/>
      </w:numPr>
      <w:tabs>
        <w:tab w:val="clear" w:pos="720"/>
        <w:tab w:val="left" w:pos="4320" w:leader="none"/>
      </w:tabs>
      <w:spacing w:before="0" w:after="240"/>
      <w:outlineLvl w:val="4"/>
    </w:pPr>
    <w:rPr>
      <w:sz w:val="24"/>
    </w:rPr>
  </w:style>
  <w:style w:type="paragraph" w:styleId="Legal5L6">
    <w:name w:val="Legal5_L6"/>
    <w:basedOn w:val="Normal"/>
    <w:next w:val="Normal"/>
    <w:qFormat/>
    <w:pPr>
      <w:numPr>
        <w:ilvl w:val="0"/>
        <w:numId w:val="6"/>
      </w:numPr>
      <w:tabs>
        <w:tab w:val="clear" w:pos="720"/>
        <w:tab w:val="left" w:pos="1440" w:leader="none"/>
      </w:tabs>
      <w:spacing w:before="0" w:after="240"/>
      <w:outlineLvl w:val="5"/>
    </w:pPr>
    <w:rPr>
      <w:sz w:val="24"/>
    </w:rPr>
  </w:style>
  <w:style w:type="paragraph" w:styleId="Legal5L7">
    <w:name w:val="Legal5_L7"/>
    <w:basedOn w:val="Normal"/>
    <w:next w:val="Normal"/>
    <w:qFormat/>
    <w:pPr>
      <w:numPr>
        <w:ilvl w:val="0"/>
        <w:numId w:val="6"/>
      </w:numPr>
      <w:spacing w:before="0" w:after="240"/>
      <w:outlineLvl w:val="6"/>
    </w:pPr>
    <w:rPr>
      <w:sz w:val="24"/>
    </w:rPr>
  </w:style>
  <w:style w:type="paragraph" w:styleId="Legal5L8">
    <w:name w:val="Legal5_L8"/>
    <w:basedOn w:val="Normal"/>
    <w:next w:val="Normal"/>
    <w:qFormat/>
    <w:pPr>
      <w:numPr>
        <w:ilvl w:val="0"/>
        <w:numId w:val="6"/>
      </w:numPr>
      <w:tabs>
        <w:tab w:val="clear" w:pos="720"/>
        <w:tab w:val="left" w:pos="2880" w:leader="none"/>
      </w:tabs>
      <w:spacing w:before="0" w:after="240"/>
      <w:outlineLvl w:val="7"/>
    </w:pPr>
    <w:rPr>
      <w:sz w:val="24"/>
    </w:rPr>
  </w:style>
  <w:style w:type="paragraph" w:styleId="BodyTextIndent">
    <w:name w:val="Body Text Indent"/>
    <w:basedOn w:val="BodyText"/>
    <w:next w:val="BodyText"/>
    <w:pPr>
      <w:ind w:hanging="0" w:start="720" w:end="0"/>
    </w:pPr>
    <w:rPr/>
  </w:style>
  <w:style w:type="paragraph" w:styleId="1stline">
    <w:name w:val="1stline"/>
    <w:basedOn w:val="Normal"/>
    <w:qFormat/>
    <w:pPr>
      <w:suppressAutoHyphens w:val="true"/>
      <w:ind w:firstLine="1440" w:start="0" w:end="0"/>
    </w:pPr>
    <w:rPr>
      <w:sz w:val="24"/>
    </w:rPr>
  </w:style>
  <w:style w:type="paragraph" w:styleId="FlushLeft">
    <w:name w:val="Flush Left"/>
    <w:basedOn w:val="Normal"/>
    <w:qFormat/>
    <w:pPr>
      <w:spacing w:before="240" w:after="0"/>
    </w:pPr>
    <w:rPr/>
  </w:style>
  <w:style w:type="paragraph" w:styleId="FlushLeftDouble">
    <w:name w:val="Flush Left Double"/>
    <w:basedOn w:val="FlushLeft"/>
    <w:qFormat/>
    <w:pPr>
      <w:spacing w:lineRule="auto" w:line="48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tabs>
        <w:tab w:val="clear" w:pos="720"/>
        <w:tab w:val="left" w:pos="5760" w:leader="none"/>
      </w:tabs>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spacing w:lineRule="exact" w:line="24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
    <w:name w:val="Body Text Continued"/>
    <w:basedOn w:val="BodyText"/>
    <w:next w:val="BodyText"/>
    <w:qFormat/>
    <w:pPr>
      <w:tabs>
        <w:tab w:val="clear" w:pos="720"/>
        <w:tab w:val="left" w:pos="4320" w:leader="none"/>
        <w:tab w:val="left" w:pos="5040" w:leader="none"/>
        <w:tab w:val="left" w:pos="9360" w:leader="none"/>
      </w:tabs>
      <w:ind w:hanging="0" w:start="0" w:end="0"/>
    </w:pPr>
    <w:rPr/>
  </w:style>
  <w:style w:type="paragraph" w:styleId="BodyTextContinuedDouble">
    <w:name w:val="Body Text Continued Double"/>
    <w:basedOn w:val="BodyTextContinued"/>
    <w:qFormat/>
    <w:pPr>
      <w:spacing w:lineRule="auto" w:line="480"/>
    </w:pPr>
    <w:rPr/>
  </w:style>
  <w:style w:type="paragraph" w:styleId="BodyTextContinuedPleading">
    <w:name w:val="Body Text Continued Pleading"/>
    <w:basedOn w:val="BodyTextContinued"/>
    <w:qFormat/>
    <w:pPr>
      <w:spacing w:lineRule="exact" w:line="240"/>
    </w:pPr>
    <w:rPr/>
  </w:style>
  <w:style w:type="paragraph" w:styleId="BodyTextDouble">
    <w:name w:val="Body Text Double"/>
    <w:basedOn w:val="BodyText"/>
    <w:qFormat/>
    <w:pPr>
      <w:spacing w:lineRule="auto" w:line="48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
    <w:name w:val="Centered"/>
    <w:basedOn w:val="Normal"/>
    <w:next w:val="BodyText"/>
    <w:qFormat/>
    <w:pPr>
      <w:spacing w:lineRule="exact" w:line="240" w:before="240" w:after="0"/>
      <w:jc w:val="center"/>
    </w:pPr>
    <w:rPr/>
  </w:style>
  <w:style w:type="paragraph" w:styleId="CenteredDouble">
    <w:name w:val="Centered Double"/>
    <w:basedOn w:val="Centered"/>
    <w:qFormat/>
    <w:pPr>
      <w:spacing w:lineRule="auto" w:line="480"/>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Centered"/>
    <w:qFormat/>
    <w:pPr/>
    <w:rPr>
      <w:u w:val="single"/>
    </w:rPr>
  </w:style>
  <w:style w:type="paragraph" w:styleId="CenteredUnderlined">
    <w:name w:val="Centered Underlined"/>
    <w:basedOn w:val="Centered"/>
    <w:qFormat/>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spacing w:before="240" w:after="0"/>
    </w:pPr>
    <w:rPr>
      <w:b/>
      <w:caps/>
    </w:rPr>
  </w:style>
  <w:style w:type="paragraph" w:styleId="EnvelopeAddress">
    <w:name w:val="envelope address"/>
    <w:basedOn w:val="Normal"/>
    <w:pPr/>
    <w:rPr/>
  </w:style>
  <w:style w:type="paragraph" w:styleId="FlushLeftPleading">
    <w:name w:val="Flush Left Pleading"/>
    <w:basedOn w:val="FlushLeft"/>
    <w:qFormat/>
    <w:pPr>
      <w:spacing w:lineRule="exact" w:line="240"/>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HeadingTitleDoublePleading">
    <w:name w:val="Heading Title Double Pleading"/>
    <w:basedOn w:val="Normal"/>
    <w:qFormat/>
    <w:pPr>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IPL1">
    <w:name w:val="IP_L1"/>
    <w:basedOn w:val="Normal"/>
    <w:next w:val="Normal"/>
    <w:qFormat/>
    <w:pPr>
      <w:keepNext w:val="true"/>
      <w:numPr>
        <w:ilvl w:val="0"/>
        <w:numId w:val="2"/>
      </w:numPr>
      <w:spacing w:before="240" w:after="240"/>
      <w:outlineLvl w:val="0"/>
    </w:pPr>
    <w:rPr>
      <w:caps/>
      <w:sz w:val="24"/>
    </w:rPr>
  </w:style>
  <w:style w:type="paragraph" w:styleId="IPL2">
    <w:name w:val="IP_L2"/>
    <w:basedOn w:val="Normal"/>
    <w:next w:val="Normal"/>
    <w:qFormat/>
    <w:pPr>
      <w:numPr>
        <w:ilvl w:val="0"/>
        <w:numId w:val="2"/>
      </w:numPr>
      <w:spacing w:before="0" w:after="240"/>
      <w:outlineLvl w:val="1"/>
    </w:pPr>
    <w:rPr>
      <w:sz w:val="24"/>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MAMergerL1">
    <w:name w:val="MAMerger_L1"/>
    <w:basedOn w:val="Normal"/>
    <w:next w:val="Normal"/>
    <w:qFormat/>
    <w:pPr>
      <w:keepNext w:val="true"/>
      <w:numPr>
        <w:ilvl w:val="0"/>
        <w:numId w:val="5"/>
      </w:numPr>
      <w:spacing w:before="240" w:after="240"/>
      <w:outlineLvl w:val="0"/>
    </w:pPr>
    <w:rPr>
      <w:caps/>
      <w:sz w:val="24"/>
    </w:rPr>
  </w:style>
  <w:style w:type="paragraph" w:styleId="NormalIndent">
    <w:name w:val="Normal Indent"/>
    <w:basedOn w:val="Normal"/>
    <w:qFormat/>
    <w:pPr>
      <w:widowControl w:val="false"/>
      <w:spacing w:before="240" w:after="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Next w:val="true"/>
      <w:keepLines/>
      <w:tabs>
        <w:tab w:val="clear" w:pos="720"/>
        <w:tab w:val="right" w:pos="9288" w:leader="dot"/>
      </w:tabs>
      <w:spacing w:before="240" w:after="0"/>
      <w:ind w:hanging="720" w:start="720" w:end="720"/>
    </w:pPr>
    <w:rPr>
      <w:lang w:val="en-CA" w:eastAsia="en-CA"/>
    </w:rPr>
  </w:style>
  <w:style w:type="paragraph" w:styleId="TOC2">
    <w:name w:val="toc 2"/>
    <w:basedOn w:val="Normal"/>
    <w:next w:val="TOC3"/>
    <w:pPr>
      <w:keepLines/>
      <w:tabs>
        <w:tab w:val="clear" w:pos="720"/>
        <w:tab w:val="left" w:pos="2160" w:leader="none"/>
        <w:tab w:val="right" w:pos="9288" w:leader="dot"/>
      </w:tabs>
      <w:ind w:hanging="720" w:start="1440" w:end="720"/>
    </w:pPr>
    <w:rPr>
      <w:lang w:val="en-CA" w:eastAsia="en-CA"/>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ti2">
    <w:name w:val="bti2"/>
    <w:basedOn w:val="BodyTextIndent"/>
    <w:next w:val="BodyTextIndent"/>
    <w:qFormat/>
    <w:pPr>
      <w:ind w:hanging="0" w:start="1440" w:end="0"/>
    </w:pPr>
    <w:rPr/>
  </w:style>
  <w:style w:type="paragraph" w:styleId="CenteredBoldUnderlined">
    <w:name w:val="Centered Bold Underlined"/>
    <w:basedOn w:val="CenteredUnderlinePleading"/>
    <w:qFormat/>
    <w:pPr/>
    <w:rPr>
      <w:b/>
    </w:rPr>
  </w:style>
  <w:style w:type="paragraph" w:styleId="ArticleL1">
    <w:name w:val="Article_L1"/>
    <w:basedOn w:val="Normal"/>
    <w:next w:val="Normal"/>
    <w:qFormat/>
    <w:pPr>
      <w:keepNext w:val="true"/>
      <w:numPr>
        <w:ilvl w:val="0"/>
        <w:numId w:val="3"/>
      </w:numPr>
      <w:spacing w:before="240" w:after="0"/>
      <w:jc w:val="center"/>
      <w:outlineLvl w:val="0"/>
    </w:pPr>
    <w:rPr>
      <w:rFonts w:ascii="Times New Roman Bold" w:hAnsi="Times New Roman Bold" w:cs="Times New Roman Bold"/>
      <w:b/>
    </w:rPr>
  </w:style>
  <w:style w:type="paragraph" w:styleId="ArticleL2">
    <w:name w:val="Article_L2"/>
    <w:basedOn w:val="Normal"/>
    <w:next w:val="Normal"/>
    <w:qFormat/>
    <w:pPr>
      <w:keepNext w:val="true"/>
      <w:numPr>
        <w:ilvl w:val="0"/>
        <w:numId w:val="3"/>
      </w:numPr>
      <w:tabs>
        <w:tab w:val="clear" w:pos="720"/>
        <w:tab w:val="left" w:pos="1584" w:leader="none"/>
      </w:tabs>
      <w:spacing w:before="240" w:after="0"/>
      <w:outlineLvl w:val="1"/>
    </w:pPr>
    <w:rPr>
      <w:rFonts w:ascii="Times New Roman Bold" w:hAnsi="Times New Roman Bold" w:cs="Times New Roman Bold"/>
      <w:b/>
    </w:rPr>
  </w:style>
  <w:style w:type="paragraph" w:styleId="ArticleL3">
    <w:name w:val="Article_L3"/>
    <w:basedOn w:val="Normal"/>
    <w:next w:val="Normal"/>
    <w:qFormat/>
    <w:pPr>
      <w:numPr>
        <w:ilvl w:val="0"/>
        <w:numId w:val="3"/>
      </w:numPr>
      <w:spacing w:before="240" w:after="0"/>
      <w:outlineLvl w:val="2"/>
    </w:pPr>
    <w:rPr/>
  </w:style>
  <w:style w:type="paragraph" w:styleId="ArticleL4">
    <w:name w:val="Article_L4"/>
    <w:basedOn w:val="Normal"/>
    <w:next w:val="Normal"/>
    <w:qFormat/>
    <w:pPr>
      <w:numPr>
        <w:ilvl w:val="0"/>
        <w:numId w:val="3"/>
      </w:numPr>
      <w:spacing w:before="240" w:after="0"/>
      <w:outlineLvl w:val="3"/>
    </w:pPr>
    <w:rPr/>
  </w:style>
  <w:style w:type="paragraph" w:styleId="ArticleL5">
    <w:name w:val="Article_L5"/>
    <w:basedOn w:val="Normal"/>
    <w:next w:val="Normal"/>
    <w:qFormat/>
    <w:pPr>
      <w:numPr>
        <w:ilvl w:val="0"/>
        <w:numId w:val="3"/>
      </w:numPr>
      <w:spacing w:before="0" w:after="240"/>
      <w:outlineLvl w:val="4"/>
    </w:pPr>
    <w:rPr/>
  </w:style>
  <w:style w:type="paragraph" w:styleId="ArticleL6">
    <w:name w:val="Article_L6"/>
    <w:basedOn w:val="Normal"/>
    <w:next w:val="Normal"/>
    <w:qFormat/>
    <w:pPr>
      <w:numPr>
        <w:ilvl w:val="0"/>
        <w:numId w:val="3"/>
      </w:numPr>
      <w:tabs>
        <w:tab w:val="clear" w:pos="720"/>
        <w:tab w:val="left" w:pos="4320" w:leader="none"/>
      </w:tabs>
      <w:spacing w:before="0" w:after="240"/>
      <w:outlineLvl w:val="5"/>
    </w:pPr>
    <w:rPr/>
  </w:style>
  <w:style w:type="paragraph" w:styleId="ArticleL7">
    <w:name w:val="Article_L7"/>
    <w:basedOn w:val="Normal"/>
    <w:next w:val="Normal"/>
    <w:qFormat/>
    <w:pPr>
      <w:numPr>
        <w:ilvl w:val="0"/>
        <w:numId w:val="3"/>
      </w:numPr>
      <w:tabs>
        <w:tab w:val="clear" w:pos="720"/>
        <w:tab w:val="left" w:pos="2160" w:leader="none"/>
      </w:tabs>
      <w:spacing w:before="0" w:after="240"/>
      <w:outlineLvl w:val="6"/>
    </w:pPr>
    <w:rPr/>
  </w:style>
  <w:style w:type="paragraph" w:styleId="ArticleL8">
    <w:name w:val="Article_L8"/>
    <w:basedOn w:val="Normal"/>
    <w:next w:val="Normal"/>
    <w:qFormat/>
    <w:pPr>
      <w:numPr>
        <w:ilvl w:val="0"/>
        <w:numId w:val="3"/>
      </w:numPr>
      <w:spacing w:before="0" w:after="240"/>
      <w:outlineLvl w:val="7"/>
    </w:pPr>
    <w:rPr/>
  </w:style>
  <w:style w:type="paragraph" w:styleId="ArticleL9">
    <w:name w:val="Article_L9"/>
    <w:basedOn w:val="Normal"/>
    <w:next w:val="Normal"/>
    <w:qFormat/>
    <w:pPr>
      <w:numPr>
        <w:ilvl w:val="0"/>
        <w:numId w:val="3"/>
      </w:numPr>
      <w:tabs>
        <w:tab w:val="clear" w:pos="720"/>
        <w:tab w:val="left" w:pos="3600" w:leader="none"/>
      </w:tabs>
      <w:spacing w:before="0" w:after="240"/>
      <w:outlineLvl w:val="8"/>
    </w:pPr>
    <w:rPr/>
  </w:style>
  <w:style w:type="paragraph" w:styleId="f">
    <w:name w:val="f"/>
    <w:basedOn w:val="BodyText"/>
    <w:qFormat/>
    <w:pPr/>
    <w:rPr/>
  </w:style>
  <w:style w:type="paragraph" w:styleId="FlushRight">
    <w:name w:val="FlushRight"/>
    <w:basedOn w:val="FlushLeftPleading"/>
    <w:qFormat/>
    <w:pPr>
      <w:jc w:val="end"/>
    </w:pPr>
    <w:rPr/>
  </w:style>
  <w:style w:type="paragraph" w:styleId="ContractL2">
    <w:name w:val="Contract_L2"/>
    <w:basedOn w:val="Normal"/>
    <w:next w:val="NumContinue"/>
    <w:qFormat/>
    <w:pPr>
      <w:keepNext w:val="true"/>
      <w:widowControl w:val="false"/>
      <w:tabs>
        <w:tab w:val="clear" w:pos="720"/>
        <w:tab w:val="left" w:pos="1152" w:leader="none"/>
        <w:tab w:val="left" w:pos="1440" w:leader="none"/>
      </w:tabs>
      <w:spacing w:before="0" w:after="240"/>
    </w:pPr>
    <w:rPr/>
  </w:style>
  <w:style w:type="paragraph" w:styleId="ContractL3">
    <w:name w:val="Contract_L3"/>
    <w:basedOn w:val="ContractL2"/>
    <w:next w:val="NumContinue"/>
    <w:qFormat/>
    <w:pPr>
      <w:keepNext w:val="false"/>
      <w:tabs>
        <w:tab w:val="left" w:pos="720" w:leader="none"/>
        <w:tab w:val="left" w:pos="1152" w:leader="none"/>
        <w:tab w:val="left" w:pos="1440" w:leader="none"/>
        <w:tab w:val="left" w:pos="2160" w:leader="none"/>
        <w:tab w:val="left" w:pos="2880" w:leader="none"/>
        <w:tab w:val="left" w:pos="3600" w:leader="none"/>
        <w:tab w:val="left" w:pos="4320" w:leader="none"/>
      </w:tabs>
      <w:ind w:hanging="720" w:start="720" w:end="0"/>
    </w:pPr>
    <w:rPr/>
  </w:style>
  <w:style w:type="paragraph" w:styleId="ContractL4">
    <w:name w:val="Contract_L4"/>
    <w:basedOn w:val="ContractL3"/>
    <w:next w:val="NumContinue"/>
    <w:qFormat/>
    <w:pPr>
      <w:ind w:hanging="720" w:start="1440" w:end="0"/>
    </w:pPr>
    <w:rPr/>
  </w:style>
  <w:style w:type="paragraph" w:styleId="ContractL5">
    <w:name w:val="Contract_L5"/>
    <w:basedOn w:val="ContractL4"/>
    <w:next w:val="NumContinue"/>
    <w:qFormat/>
    <w:pPr>
      <w:ind w:hanging="720" w:start="2160" w:end="0"/>
    </w:pPr>
    <w:rPr/>
  </w:style>
  <w:style w:type="paragraph" w:styleId="ContractL6">
    <w:name w:val="Contract_L6"/>
    <w:basedOn w:val="ContractL5"/>
    <w:next w:val="NumContinue"/>
    <w:qFormat/>
    <w:pPr>
      <w:ind w:hanging="720" w:start="2880" w:end="0"/>
    </w:pPr>
    <w:rPr/>
  </w:style>
  <w:style w:type="paragraph" w:styleId="StandardL1">
    <w:name w:val="Standard_L1"/>
    <w:basedOn w:val="Normal"/>
    <w:next w:val="Normal"/>
    <w:qFormat/>
    <w:pPr>
      <w:numPr>
        <w:ilvl w:val="0"/>
        <w:numId w:val="4"/>
      </w:numPr>
      <w:spacing w:before="240" w:after="0"/>
      <w:outlineLvl w:val="0"/>
    </w:pPr>
    <w:rPr>
      <w:rFonts w:ascii="Times New Roman Bold" w:hAnsi="Times New Roman Bold" w:cs="Times New Roman Bold"/>
      <w:b/>
    </w:rPr>
  </w:style>
  <w:style w:type="paragraph" w:styleId="StandardL2">
    <w:name w:val="Standard_L2"/>
    <w:basedOn w:val="Normal"/>
    <w:qFormat/>
    <w:pPr>
      <w:numPr>
        <w:ilvl w:val="0"/>
        <w:numId w:val="4"/>
      </w:numPr>
      <w:spacing w:before="240" w:after="0"/>
      <w:outlineLvl w:val="1"/>
    </w:pPr>
    <w:rPr/>
  </w:style>
  <w:style w:type="paragraph" w:styleId="StandardL3">
    <w:name w:val="Standard_L3"/>
    <w:basedOn w:val="Normal"/>
    <w:qFormat/>
    <w:pPr>
      <w:numPr>
        <w:ilvl w:val="0"/>
        <w:numId w:val="4"/>
      </w:numPr>
      <w:tabs>
        <w:tab w:val="clear" w:pos="720"/>
        <w:tab w:val="left" w:pos="2880" w:leader="none"/>
      </w:tabs>
      <w:spacing w:before="240" w:after="0"/>
      <w:outlineLvl w:val="2"/>
    </w:pPr>
    <w:rPr/>
  </w:style>
  <w:style w:type="paragraph" w:styleId="StandardL4">
    <w:name w:val="Standard_L4"/>
    <w:basedOn w:val="Normal"/>
    <w:qFormat/>
    <w:pPr>
      <w:numPr>
        <w:ilvl w:val="0"/>
        <w:numId w:val="4"/>
      </w:numPr>
      <w:tabs>
        <w:tab w:val="clear" w:pos="720"/>
        <w:tab w:val="left" w:pos="2880" w:leader="none"/>
      </w:tabs>
      <w:spacing w:before="240" w:after="0"/>
      <w:outlineLvl w:val="3"/>
    </w:pPr>
    <w:rPr/>
  </w:style>
  <w:style w:type="paragraph" w:styleId="StandardL5">
    <w:name w:val="Standard_L5"/>
    <w:basedOn w:val="Normal"/>
    <w:next w:val="Normal"/>
    <w:qFormat/>
    <w:pPr>
      <w:numPr>
        <w:ilvl w:val="0"/>
        <w:numId w:val="4"/>
      </w:numPr>
      <w:spacing w:before="0" w:after="240"/>
      <w:outlineLvl w:val="4"/>
    </w:pPr>
    <w:rPr/>
  </w:style>
  <w:style w:type="paragraph" w:styleId="StandardL6">
    <w:name w:val="Standard_L6"/>
    <w:basedOn w:val="Normal"/>
    <w:next w:val="Normal"/>
    <w:qFormat/>
    <w:pPr>
      <w:numPr>
        <w:ilvl w:val="0"/>
        <w:numId w:val="4"/>
      </w:numPr>
      <w:spacing w:before="0" w:after="240"/>
      <w:outlineLvl w:val="5"/>
    </w:pPr>
    <w:rPr/>
  </w:style>
  <w:style w:type="paragraph" w:styleId="StandardL7">
    <w:name w:val="Standard_L7"/>
    <w:basedOn w:val="Normal"/>
    <w:next w:val="NumContinue"/>
    <w:qFormat/>
    <w:pPr>
      <w:numPr>
        <w:ilvl w:val="0"/>
        <w:numId w:val="4"/>
      </w:numPr>
      <w:tabs>
        <w:tab w:val="clear" w:pos="720"/>
        <w:tab w:val="left" w:pos="5040" w:leader="none"/>
      </w:tabs>
      <w:spacing w:before="0" w:after="240"/>
      <w:outlineLvl w:val="6"/>
    </w:pPr>
    <w:rPr/>
  </w:style>
  <w:style w:type="paragraph" w:styleId="StandardL8">
    <w:name w:val="Standard_L8"/>
    <w:basedOn w:val="Normal"/>
    <w:next w:val="NumContinue"/>
    <w:qFormat/>
    <w:pPr>
      <w:numPr>
        <w:ilvl w:val="0"/>
        <w:numId w:val="4"/>
      </w:numPr>
      <w:tabs>
        <w:tab w:val="clear" w:pos="720"/>
        <w:tab w:val="left" w:pos="5760" w:leader="none"/>
      </w:tabs>
      <w:spacing w:before="0" w:after="240"/>
      <w:outlineLvl w:val="7"/>
    </w:pPr>
    <w:rPr/>
  </w:style>
  <w:style w:type="paragraph" w:styleId="StandardL9">
    <w:name w:val="Standard_L9"/>
    <w:basedOn w:val="Normal"/>
    <w:next w:val="NumContinue"/>
    <w:qFormat/>
    <w:pPr>
      <w:numPr>
        <w:ilvl w:val="0"/>
        <w:numId w:val="4"/>
      </w:numPr>
      <w:spacing w:before="0" w:after="240"/>
      <w:outlineLvl w:val="8"/>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2000-08-02T11:28:00Z</dcterms:created>
  <dc:creator>DWinkler</dc:creator>
  <dc:description/>
  <dc:language>en-CA</dc:language>
  <cp:lastModifiedBy>Michael J. Curry</cp:lastModifiedBy>
  <cp:lastPrinted>2000-08-02T09:00:00Z</cp:lastPrinted>
  <dcterms:modified xsi:type="dcterms:W3CDTF">2000-08-02T11:30:00Z</dcterms:modified>
  <cp:revision>3</cp:revision>
  <dc:subject/>
  <dc:title>2000 Renewable Energy </dc:title>
</cp:coreProperties>
</file>