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TEXAS WIND</w:t>
            </w:r>
          </w:p>
          <w:p>
            <w:pPr>
              <w:pStyle w:val="BlockText"/>
              <w:ind w:end="252"/>
              <w:rPr/>
            </w:pPr>
            <w:r>
              <w:rPr/>
              <w:t>Counterparty:  Indian Mesa Power Partners II L.P.                            (a special purpose entity of Enron Wind Corp.)</w:t>
            </w:r>
          </w:p>
          <w:p>
            <w:pPr>
              <w:pStyle w:val="Normal"/>
              <w:rPr/>
            </w:pPr>
            <w:r>
              <w:rPr/>
              <w:t>Business Unit:  EWS – East Power Desk</w:t>
            </w:r>
          </w:p>
          <w:p>
            <w:pPr>
              <w:pStyle w:val="Normal"/>
              <w:rPr/>
            </w:pPr>
            <w:r>
              <w:rPr/>
              <w:t>Business Unit Originator: Mike Curry</w:t>
            </w:r>
          </w:p>
          <w:p>
            <w:pPr>
              <w:pStyle w:val="Normal"/>
              <w:tabs>
                <w:tab w:val="clear" w:pos="720"/>
                <w:tab w:val="left" w:pos="1530" w:leader="none"/>
              </w:tabs>
              <w:rPr/>
            </w:pPr>
            <w:r>
              <w:rPr>
                <w:rFonts w:cs="Wingdings" w:ascii="Wingdings" w:hAnsi="Wingdings"/>
              </w:rPr>
              <w:sym w:font="Wingdings" w:char="f078"/>
            </w:r>
            <w:r>
              <w:rPr/>
              <w:t>Public</w:t>
              <w:tab/>
            </w:r>
            <w:r>
              <w:rPr>
                <w:rFonts w:cs="Wingdings" w:ascii="Wingdings" w:hAnsi="Wingdings"/>
              </w:rPr>
              <w:sym w:font="Wingdings" w:char="f070"/>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November 13, 2000</w:t>
            </w:r>
          </w:p>
          <w:p>
            <w:pPr>
              <w:pStyle w:val="Normal"/>
              <w:ind w:firstLine="90" w:start="-198" w:end="-1095"/>
              <w:rPr/>
            </w:pPr>
            <w:r>
              <w:rPr/>
              <w:t>RAC Analyst:  LaCrecia Davenport/Valdimir Gorny</w:t>
            </w:r>
          </w:p>
          <w:p>
            <w:pPr>
              <w:pStyle w:val="Normal"/>
              <w:ind w:firstLine="90" w:start="-198" w:end="-738"/>
              <w:rPr/>
            </w:pPr>
            <w:r>
              <w:rPr/>
              <w:t>Investment Type:  Power Purchase Agreement</w:t>
            </w:r>
          </w:p>
          <w:p>
            <w:pPr>
              <w:pStyle w:val="Normal"/>
              <w:ind w:firstLine="90" w:start="-198" w:end="-738"/>
              <w:rPr/>
            </w:pPr>
            <w:r>
              <w:rPr/>
              <w:t>Capital Funding Source(s):  N/A</w:t>
            </w:r>
          </w:p>
          <w:p>
            <w:pPr>
              <w:pStyle w:val="Normal"/>
              <w:ind w:firstLine="90" w:start="-198" w:end="-738"/>
              <w:rPr/>
            </w:pPr>
            <w:r>
              <w:rPr/>
              <w:t>Expected Closing Date: November 14, 2000</w:t>
            </w:r>
          </w:p>
          <w:p>
            <w:pPr>
              <w:pStyle w:val="Normal"/>
              <w:ind w:firstLine="90" w:start="-198" w:end="-738"/>
              <w:rPr/>
            </w:pPr>
            <w:r>
              <w:rPr/>
              <w:t>Expected Funding Date:  N/A</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p>
            <w:pPr>
              <w:pStyle w:val="Normal"/>
              <w:ind w:firstLine="90" w:start="-198" w:end="-738"/>
              <w:rPr/>
            </w:pPr>
            <w:r>
              <w:rPr/>
            </w:r>
          </w:p>
          <w:p>
            <w:pPr>
              <w:pStyle w:val="Normal"/>
              <w:ind w:firstLine="90" w:start="-198" w:end="-738"/>
              <w:rPr/>
            </w:pPr>
            <w:r>
              <w:rPr/>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Normal"/>
        <w:rPr/>
      </w:pPr>
      <w:r>
        <w:rPr/>
      </w:r>
    </w:p>
    <w:p>
      <w:pPr>
        <w:pStyle w:val="Heading1"/>
        <w:pBdr>
          <w:top w:val="single" w:sz="8" w:space="1" w:color="000000"/>
        </w:pBdr>
        <w:ind w:hanging="0" w:start="0" w:end="-36"/>
        <w:rPr/>
      </w:pPr>
      <w:r>
        <w:rPr/>
        <w:t>APPROVAL AMOUNT REQUESTED</w:t>
      </w:r>
    </w:p>
    <w:p>
      <w:pPr>
        <w:pStyle w:val="Normal"/>
        <w:rPr/>
      </w:pPr>
      <w:r>
        <w:rPr/>
      </w:r>
    </w:p>
    <w:p>
      <w:pPr>
        <w:pStyle w:val="Normal"/>
        <w:ind w:start="360" w:end="0"/>
        <w:rPr/>
      </w:pPr>
      <w:r>
        <w:rPr/>
        <w:t>Market Risk</w:t>
        <w:tab/>
        <w:tab/>
        <w:tab/>
        <w:tab/>
        <w:t>$16.3 MM   ($2.1 million in overnight VAR and a 60-day liquidation period)</w:t>
      </w:r>
    </w:p>
    <w:p>
      <w:pPr>
        <w:pStyle w:val="Normal"/>
        <w:ind w:start="360" w:end="0"/>
        <w:rPr/>
      </w:pPr>
      <w:r>
        <w:rPr/>
        <w:t>Credit Risk</w:t>
        <w:tab/>
        <w:tab/>
        <w:tab/>
        <w:tab/>
      </w:r>
      <w:r>
        <w:rPr>
          <w:u w:val="single"/>
        </w:rPr>
        <w:t>$  4.0 MM</w:t>
      </w:r>
    </w:p>
    <w:p>
      <w:pPr>
        <w:pStyle w:val="Normal"/>
        <w:ind w:start="360" w:end="0"/>
        <w:rPr/>
      </w:pPr>
      <w:r>
        <w:rPr/>
        <w:t>Total “Risk Adjusted Exposure”</w:t>
        <w:tab/>
        <w:t>$20.3 MM</w:t>
      </w:r>
    </w:p>
    <w:p>
      <w:pPr>
        <w:pStyle w:val="Normal"/>
        <w:ind w:start="360" w:end="0"/>
        <w:rPr/>
      </w:pPr>
      <w:r>
        <w:rPr/>
      </w:r>
    </w:p>
    <w:p>
      <w:pPr>
        <w:pStyle w:val="Heading1"/>
        <w:pBdr>
          <w:top w:val="single" w:sz="8" w:space="1" w:color="000000"/>
        </w:pBdr>
        <w:ind w:hanging="0" w:start="0" w:end="-36"/>
        <w:rPr/>
      </w:pPr>
      <w:r>
        <w:rPr/>
        <w:t>EXPOSURE SUMMARY</w:t>
      </w:r>
    </w:p>
    <w:p>
      <w:pPr>
        <w:pStyle w:val="Normal"/>
        <w:ind w:start="360" w:end="0"/>
        <w:rPr/>
      </w:pPr>
      <w:r>
        <w:rPr/>
      </w:r>
    </w:p>
    <w:p>
      <w:pPr>
        <w:pStyle w:val="Normal"/>
        <w:ind w:start="360" w:end="0"/>
        <w:rPr/>
      </w:pPr>
      <w:r>
        <w:rPr/>
        <w:t>This Transaction</w:t>
        <w:tab/>
        <w:tab/>
        <w:tab/>
      </w:r>
      <w:r>
        <w:rPr>
          <w:u w:val="single"/>
        </w:rPr>
        <w:t xml:space="preserve">$20.3 MM </w:t>
      </w:r>
    </w:p>
    <w:p>
      <w:pPr>
        <w:pStyle w:val="Normal"/>
        <w:ind w:start="360" w:end="0"/>
        <w:rPr/>
      </w:pPr>
      <w:r>
        <w:rPr/>
        <w:t>Total Exposure</w:t>
        <w:tab/>
        <w:tab/>
        <w:tab/>
        <w:t>$20.3 MM</w:t>
      </w:r>
    </w:p>
    <w:p>
      <w:pPr>
        <w:pStyle w:val="Normal"/>
        <w:ind w:start="360" w:end="0"/>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BodyTextIndent3"/>
        <w:spacing w:before="0" w:after="100"/>
        <w:ind w:hanging="1890" w:start="1890" w:end="0"/>
        <w:rPr>
          <w:color w:val="auto"/>
          <w:sz w:val="20"/>
        </w:rPr>
      </w:pPr>
      <w:r>
        <w:rPr>
          <w:color w:val="auto"/>
          <w:sz w:val="20"/>
        </w:rPr>
        <w:t>Summary:</w:t>
        <w:tab/>
        <w:t>Under a Power Purchase Agreement (“PPA”), EPMI is proposing to buy capacity, energy and associated Renewable Energy Credits (“RECs”) produced from a wind generating facility (“Facility”) to be constructed in the ERCOT region by Indian Mesa Power Partners II LP ("IMPP"), a special purpose entity of Enron Wind Corp. (“EWC”) that will be leveraged and sold to an equity investor (estimated to occur Q1 or Q2 of 2001).  The bundled capacity, energy and RECs would be purchased at a fixed price per MWh paid monthly over the twenty-year term of the PPA.  EPMI and EWC would enter a separate Green Premium Sharing Agreement (“GPSA”) whereby EPMI would pay EWC 50% of the gross proceeds of RECs marketed by EPMI.</w:t>
      </w:r>
    </w:p>
    <w:p>
      <w:pPr>
        <w:pStyle w:val="BodyTextIndent3"/>
        <w:spacing w:before="0" w:after="100"/>
        <w:ind w:hanging="1890" w:start="1890" w:end="0"/>
        <w:rPr>
          <w:color w:val="auto"/>
          <w:sz w:val="20"/>
        </w:rPr>
      </w:pPr>
      <w:r>
        <w:rPr>
          <w:color w:val="auto"/>
          <w:sz w:val="20"/>
        </w:rPr>
        <w:t>REC Program:</w:t>
        <w:tab/>
        <w:t>RECs are the result of an ERCOT regulatory program taking effect January 1, 2002 whereby each retail energy provider (“REP”) in the ERCOT region must demonstrate that a portion of the energy sold to its load (based on the percentage of their load compared to the total ERCOT load, times the statewide REC requirement) was generated by renewable energy sources.  Each MWh of renewable energy produced by an in-state generator will equal one REC.  RECs will be traded in a market so that REPs may rectify shortfalls by market purchases.  The Texas requirement for new renewable generation is 400 MW in 2002-2003, 850 MW in 2004-2005, 1400 MW in 2006-2007, and 2000 MW in 2008-2009.</w:t>
      </w:r>
    </w:p>
    <w:p>
      <w:pPr>
        <w:pStyle w:val="BodyTextIndent3"/>
        <w:spacing w:before="0" w:after="100"/>
        <w:ind w:hanging="1890" w:start="1890" w:end="0"/>
        <w:rPr>
          <w:color w:val="auto"/>
          <w:sz w:val="20"/>
        </w:rPr>
      </w:pPr>
      <w:r>
        <w:rPr>
          <w:color w:val="auto"/>
          <w:sz w:val="20"/>
        </w:rPr>
        <w:t>New ERCOT Rules:</w:t>
        <w:tab/>
        <w:t xml:space="preserve">Due to Senate Bill 7 legislation, the Texas marketplace is undergoing changes to enact retail electricity access.  Starting June 1, 2001, ERCOT will become one control area dispatched by the ERCOT ISO.  The ISO will conduct ancillary services and balancing energy markets.  EPMI, as a fallback to being unable to assign this agreement, intends to sell the intermittent wind energy into the 15-minute interval balancing energy market.  See Market Risk #5 below for the risk and mitigation strategy for any imbalance penalties that may occur through such sales.     </w:t>
      </w:r>
    </w:p>
    <w:p>
      <w:pPr>
        <w:pStyle w:val="BodyTextIndent3"/>
        <w:spacing w:before="0" w:after="100"/>
        <w:ind w:hanging="1890" w:start="1890" w:end="0"/>
        <w:rPr>
          <w:color w:val="auto"/>
          <w:sz w:val="20"/>
        </w:rPr>
      </w:pPr>
      <w:r>
        <w:rPr>
          <w:color w:val="auto"/>
          <w:sz w:val="20"/>
        </w:rPr>
        <w:t>Schedule:</w:t>
        <w:tab/>
        <w:t>Approximately a 7x24 schedule depending on wind speed during varying periods of the day (lower summer and daytime quantities when wind is projected to be at lower velocities)</w:t>
      </w:r>
    </w:p>
    <w:p>
      <w:pPr>
        <w:pStyle w:val="Normal"/>
        <w:spacing w:before="0" w:after="100"/>
        <w:ind w:hanging="1890" w:start="1890" w:end="0"/>
        <w:rPr/>
      </w:pPr>
      <w:r>
        <w:rPr/>
        <w:t>Location of Facility:</w:t>
        <w:tab/>
        <w:t xml:space="preserve">West Texas (100 miles south of Odessa), interconnected to West Texas Utilities (“WTU”) – </w:t>
      </w:r>
      <w:r>
        <w:rPr>
          <w:u w:val="single"/>
        </w:rPr>
        <w:t>see attached map</w:t>
      </w:r>
      <w:r>
        <w:rPr/>
        <w:t>.</w:t>
      </w:r>
    </w:p>
    <w:p>
      <w:pPr>
        <w:pStyle w:val="BodyTextIndent2"/>
        <w:spacing w:before="0" w:after="100"/>
        <w:ind w:hanging="1890" w:start="1890" w:end="0"/>
        <w:rPr/>
      </w:pPr>
      <w:r>
        <w:rPr/>
        <w:t>Term:</w:t>
        <w:tab/>
        <w:t>Starting on operational start date (to be between Nov. 1, 2001 and  May 1, 2002) and continuing for 20 years.  Term may be extended due to Uncontrollable Force for a maximum of 6 months.</w:t>
      </w:r>
    </w:p>
    <w:p>
      <w:pPr>
        <w:pStyle w:val="BodyTextIndent2"/>
        <w:spacing w:before="0" w:after="100"/>
        <w:ind w:hanging="1890" w:start="1890" w:end="0"/>
        <w:rPr/>
      </w:pPr>
      <w:r>
        <w:rPr/>
        <w:t>Delivery Point:</w:t>
        <w:tab/>
        <w:t xml:space="preserve">Facility’s two interconnections to WTU (138kV and a 69kV interconnection that is being upgraded to 138kV), or if equivalent market energy is delivered in lieu of energy from Facility, into Texas Utilities (“TXU”) or WTU </w:t>
      </w:r>
    </w:p>
    <w:p>
      <w:pPr>
        <w:pStyle w:val="BodyTextIndent"/>
        <w:spacing w:before="0" w:after="100"/>
        <w:ind w:hanging="1890" w:start="1890" w:end="0"/>
        <w:rPr/>
      </w:pPr>
      <w:r>
        <w:rPr/>
        <w:t>Quantity:</w:t>
        <w:tab/>
        <w:t>Starting on May 1</w:t>
      </w:r>
      <w:r>
        <w:rPr>
          <w:vertAlign w:val="superscript"/>
        </w:rPr>
        <w:t xml:space="preserve">st </w:t>
      </w:r>
      <w:r>
        <w:rPr/>
        <w:t xml:space="preserve">each year, the Annual Quantity is the first 360,000 MWh/yr produced  by the Facility, stepping up to 494,000 MWh/yr (projected to be July 2002) as specific transmission projects are completed.  </w:t>
      </w:r>
    </w:p>
    <w:p>
      <w:pPr>
        <w:pStyle w:val="Normal"/>
        <w:spacing w:before="0" w:after="100"/>
        <w:ind w:hanging="1890" w:start="1890" w:end="0"/>
        <w:rPr/>
      </w:pPr>
      <w:r>
        <w:rPr/>
        <w:t>Pricing:</w:t>
        <w:tab/>
        <w:t xml:space="preserve">$25.53/MWh for up to 107% of Annual Quantity, $12.76/MWh for energy above 107% </w:t>
      </w:r>
    </w:p>
    <w:p>
      <w:pPr>
        <w:pStyle w:val="BodyTextIndent2"/>
        <w:spacing w:before="0" w:after="100"/>
        <w:ind w:hanging="1890" w:start="1890" w:end="0"/>
        <w:rPr/>
      </w:pPr>
      <w:r>
        <w:rPr/>
        <w:t>Liquidated Damages:</w:t>
        <w:tab/>
        <w:t>IMPP has rights to (i) bring forward the balance of energy produced beyond the Annual Quantity in prior years (“Annual Excess”) and (ii) purchase Transferred Energy and RECs in the marketplace to cure deficiencies from the production of the Facility.  If there are deficiencies at the end of a Contract Year, IMPP pays annual 7x24 based replacement energy costs that are capped at $50/REC and $50/MWh of energy.  Uncontrollable Force events excuse applicable deficiencies.</w:t>
      </w:r>
    </w:p>
    <w:p>
      <w:pPr>
        <w:pStyle w:val="BodyTextIndent2"/>
        <w:spacing w:before="0" w:after="100"/>
        <w:ind w:hanging="1890" w:start="1890" w:end="0"/>
        <w:rPr/>
      </w:pPr>
      <w:r>
        <w:rPr/>
        <w:t>RECs:</w:t>
        <w:tab/>
        <w:t>Separate GPSA splits REC gross revenues 50/50 between EPMI and EWC.</w:t>
      </w:r>
    </w:p>
    <w:p>
      <w:pPr>
        <w:pStyle w:val="BodyTextIndent2"/>
        <w:spacing w:before="0" w:after="100"/>
        <w:ind w:hanging="1890" w:start="1890" w:end="0"/>
        <w:rPr/>
      </w:pPr>
      <w:r>
        <w:rPr/>
        <w:t>Details:</w:t>
        <w:tab/>
        <w:t xml:space="preserve">See the attached draft agreements for more detail on the deal structure and terms. </w:t>
      </w:r>
    </w:p>
    <w:p>
      <w:pPr>
        <w:pStyle w:val="Header"/>
        <w:widowControl/>
        <w:tabs>
          <w:tab w:val="clear" w:pos="4320"/>
          <w:tab w:val="clear" w:pos="8640"/>
        </w:tabs>
        <w:rPr/>
      </w:pPr>
      <w:r>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tbl>
      <w:tblPr>
        <w:tblW w:w="4770" w:type="dxa"/>
        <w:jc w:val="start"/>
        <w:tblInd w:w="378" w:type="dxa"/>
        <w:tblLayout w:type="fixed"/>
        <w:tblCellMar>
          <w:top w:w="0" w:type="dxa"/>
          <w:start w:w="108" w:type="dxa"/>
          <w:bottom w:w="0" w:type="dxa"/>
          <w:end w:w="108" w:type="dxa"/>
        </w:tblCellMar>
      </w:tblPr>
      <w:tblGrid>
        <w:gridCol w:w="3150"/>
        <w:gridCol w:w="1620"/>
      </w:tblGrid>
      <w:tr>
        <w:trPr>
          <w:trHeight w:val="70" w:hRule="atLeast"/>
        </w:trPr>
        <w:tc>
          <w:tcPr>
            <w:tcW w:w="3150" w:type="dxa"/>
            <w:tcBorders>
              <w:top w:val="single" w:sz="4" w:space="0" w:color="000000"/>
              <w:start w:val="single" w:sz="4" w:space="0" w:color="000000"/>
            </w:tcBorders>
          </w:tcPr>
          <w:p>
            <w:pPr>
              <w:pStyle w:val="Heading9"/>
              <w:widowControl/>
              <w:tabs>
                <w:tab w:val="clear" w:pos="2870"/>
                <w:tab w:val="clear" w:pos="3617"/>
                <w:tab w:val="center" w:pos="2909" w:leader="none"/>
                <w:tab w:val="center" w:pos="4079" w:leader="none"/>
              </w:tabs>
              <w:ind w:start="0" w:end="-217"/>
              <w:rPr/>
            </w:pPr>
            <w:r>
              <w:rPr/>
              <w:t xml:space="preserve">Total NPV  </w:t>
            </w:r>
          </w:p>
        </w:tc>
        <w:tc>
          <w:tcPr>
            <w:tcW w:w="1620" w:type="dxa"/>
            <w:tcBorders>
              <w:top w:val="single" w:sz="4" w:space="0" w:color="000000"/>
              <w:end w:val="single" w:sz="4" w:space="0" w:color="000000"/>
            </w:tcBorders>
          </w:tcPr>
          <w:p>
            <w:pPr>
              <w:pStyle w:val="Normal"/>
              <w:jc w:val="end"/>
              <w:rPr>
                <w:b/>
              </w:rPr>
            </w:pPr>
            <w:r>
              <w:rPr>
                <w:b/>
              </w:rPr>
              <w:t xml:space="preserve"> </w:t>
            </w:r>
            <w:r>
              <w:rPr>
                <w:b/>
              </w:rPr>
              <w:t>$XX.X million</w:t>
            </w:r>
          </w:p>
        </w:tc>
      </w:tr>
      <w:tr>
        <w:trPr>
          <w:trHeight w:val="195" w:hRule="atLeast"/>
        </w:trPr>
        <w:tc>
          <w:tcPr>
            <w:tcW w:w="3150" w:type="dxa"/>
            <w:tcBorders>
              <w:start w:val="single" w:sz="4" w:space="0" w:color="000000"/>
            </w:tcBorders>
          </w:tcPr>
          <w:p>
            <w:pPr>
              <w:pStyle w:val="Heading9"/>
              <w:widowControl/>
              <w:tabs>
                <w:tab w:val="clear" w:pos="2870"/>
                <w:tab w:val="clear" w:pos="3617"/>
                <w:tab w:val="center" w:pos="2909" w:leader="none"/>
                <w:tab w:val="center" w:pos="4079" w:leader="none"/>
              </w:tabs>
              <w:ind w:start="0" w:end="-217"/>
              <w:rPr/>
            </w:pPr>
            <w:r>
              <w:rPr/>
              <w:t>Credit Reserve</w:t>
            </w:r>
          </w:p>
          <w:p>
            <w:pPr>
              <w:pStyle w:val="Heading9"/>
              <w:widowControl/>
              <w:tabs>
                <w:tab w:val="clear" w:pos="2870"/>
                <w:tab w:val="clear" w:pos="3617"/>
                <w:tab w:val="center" w:pos="2909" w:leader="none"/>
                <w:tab w:val="center" w:pos="4079" w:leader="none"/>
              </w:tabs>
              <w:ind w:start="0" w:end="-217"/>
              <w:rPr>
                <w:u w:val="single"/>
              </w:rPr>
            </w:pPr>
            <w:r>
              <w:rPr>
                <w:u w:val="single"/>
              </w:rPr>
            </w:r>
          </w:p>
        </w:tc>
        <w:tc>
          <w:tcPr>
            <w:tcW w:w="1620" w:type="dxa"/>
            <w:tcBorders>
              <w:end w:val="single" w:sz="4" w:space="0" w:color="000000"/>
            </w:tcBorders>
          </w:tcPr>
          <w:p>
            <w:pPr>
              <w:pStyle w:val="Normal"/>
              <w:jc w:val="end"/>
              <w:rPr>
                <w:b/>
                <w:u w:val="single"/>
              </w:rPr>
            </w:pPr>
            <w:r>
              <w:rPr>
                <w:b/>
                <w:u w:val="single"/>
              </w:rPr>
              <w:t xml:space="preserve"> </w:t>
            </w:r>
            <w:r>
              <w:rPr>
                <w:b/>
                <w:u w:val="single"/>
              </w:rPr>
              <w:t>($3.5) million</w:t>
            </w:r>
          </w:p>
        </w:tc>
      </w:tr>
      <w:tr>
        <w:trPr>
          <w:trHeight w:val="195" w:hRule="atLeast"/>
        </w:trPr>
        <w:tc>
          <w:tcPr>
            <w:tcW w:w="3150" w:type="dxa"/>
            <w:tcBorders>
              <w:start w:val="single" w:sz="4" w:space="0" w:color="000000"/>
              <w:bottom w:val="single" w:sz="4" w:space="0" w:color="000000"/>
            </w:tcBorders>
          </w:tcPr>
          <w:p>
            <w:pPr>
              <w:pStyle w:val="Heading9"/>
              <w:widowControl/>
              <w:tabs>
                <w:tab w:val="clear" w:pos="2870"/>
                <w:tab w:val="clear" w:pos="3617"/>
                <w:tab w:val="center" w:pos="2909" w:leader="none"/>
                <w:tab w:val="center" w:pos="4079" w:leader="none"/>
              </w:tabs>
              <w:ind w:start="0" w:end="-217"/>
              <w:rPr/>
            </w:pPr>
            <w:r>
              <w:rPr/>
              <w:t>NPV</w:t>
            </w:r>
          </w:p>
        </w:tc>
        <w:tc>
          <w:tcPr>
            <w:tcW w:w="1620" w:type="dxa"/>
            <w:tcBorders>
              <w:bottom w:val="single" w:sz="4" w:space="0" w:color="000000"/>
              <w:end w:val="single" w:sz="4" w:space="0" w:color="000000"/>
            </w:tcBorders>
          </w:tcPr>
          <w:p>
            <w:pPr>
              <w:pStyle w:val="Normal"/>
              <w:jc w:val="end"/>
              <w:rPr>
                <w:b/>
              </w:rPr>
            </w:pPr>
            <w:r>
              <w:rPr>
                <w:b/>
              </w:rPr>
              <w:t>$X.X million</w:t>
            </w:r>
          </w:p>
        </w:tc>
      </w:tr>
    </w:tbl>
    <w:p>
      <w:pPr>
        <w:pStyle w:val="Header"/>
        <w:widowControl/>
        <w:tabs>
          <w:tab w:val="clear" w:pos="4320"/>
          <w:tab w:val="clear" w:pos="8640"/>
        </w:tabs>
        <w:rPr/>
      </w:pPr>
      <w:r>
        <w:rPr/>
      </w:r>
    </w:p>
    <w:p>
      <w:pPr>
        <w:pStyle w:val="Heading2"/>
        <w:widowControl/>
        <w:pBdr>
          <w:top w:val="single" w:sz="8" w:space="1" w:color="000000"/>
        </w:pBdr>
        <w:ind w:hanging="0" w:start="0" w:end="-36"/>
        <w:rPr>
          <w:i w:val="false"/>
          <w:i w:val="false"/>
        </w:rPr>
      </w:pPr>
      <w:r>
        <w:rPr>
          <w:i w:val="false"/>
        </w:rPr>
        <w:t>TRANSACTION UPSIDES/OPTIONALITY</w:t>
      </w:r>
    </w:p>
    <w:p>
      <w:pPr>
        <w:pStyle w:val="Normal"/>
        <w:rPr>
          <w:i/>
          <w:i/>
        </w:rPr>
      </w:pPr>
      <w:r>
        <w:rPr>
          <w:i/>
        </w:rPr>
      </w:r>
    </w:p>
    <w:p>
      <w:pPr>
        <w:pStyle w:val="Normal"/>
        <w:numPr>
          <w:ilvl w:val="0"/>
          <w:numId w:val="17"/>
        </w:numPr>
        <w:ind w:hanging="360" w:start="360" w:end="-36"/>
        <w:rPr/>
      </w:pPr>
      <w:r>
        <w:rPr>
          <w:u w:val="single"/>
        </w:rPr>
        <w:t>REC Value</w:t>
      </w:r>
      <w:r>
        <w:rPr/>
        <w:t xml:space="preserve"> – Zero value has been applied to the RECs in this valuation.  A conservative market estimate is approximately $2 to $5 per REC midmarket value on 4,900,000 PVRECs equating to a $5-12 million total PV midmarket value.  On the retail side, premiums for green energy vary but show a significant upside exists.  Retail green premiums for utilities in Texas are: Austin Energy $1.37/MWh, TXU $40.00/MWh, and San Antonio $40.00/MWh.  Outside the Texas, retail premiums range from $10 to $100/MWh with the median in the $30 to $50/MWh range.</w:t>
      </w:r>
    </w:p>
    <w:p>
      <w:pPr>
        <w:pStyle w:val="Normal"/>
        <w:ind w:end="-36"/>
        <w:rPr/>
      </w:pPr>
      <w:r>
        <w:rPr/>
      </w:r>
    </w:p>
    <w:p>
      <w:pPr>
        <w:pStyle w:val="Normal"/>
        <w:numPr>
          <w:ilvl w:val="0"/>
          <w:numId w:val="17"/>
        </w:numPr>
        <w:ind w:hanging="360" w:start="360" w:end="-36"/>
        <w:rPr/>
      </w:pPr>
      <w:r>
        <w:rPr>
          <w:u w:val="single"/>
        </w:rPr>
        <w:t>Half Price Quantities</w:t>
      </w:r>
      <w:r>
        <w:rPr/>
        <w:t xml:space="preserve"> – Valuation of this deal includes zero value for EPMI’s purchase of Renewable Energy at $12.76/MWh when quantity delivered exceeds 107% of the Annual Quantity.  IMPP has the alternative  to sell to third parties once the Annual Quantity is reached, though such third party sales would not generate Annual Excess for IMPP that could be carried over to reduce liquidated damages payable to cure future deficiencies in the Facility’s production.  Such IMPP third party sales must be made in monthly blocks and EPMI has the right to match.  Statistically, the Facility should produce quantities in excess of 107% of the Annual Quantity and in those years it is likely sales will be made to EPMI at below-market prices.</w:t>
      </w:r>
    </w:p>
    <w:p>
      <w:pPr>
        <w:pStyle w:val="Normal"/>
        <w:ind w:end="-36"/>
        <w:rPr/>
      </w:pPr>
      <w:r>
        <w:rPr/>
      </w:r>
    </w:p>
    <w:p>
      <w:pPr>
        <w:pStyle w:val="Normal"/>
        <w:pBdr>
          <w:top w:val="single" w:sz="8" w:space="1" w:color="000000"/>
        </w:pBdr>
        <w:ind w:end="-36"/>
        <w:rPr>
          <w:b/>
        </w:rPr>
      </w:pPr>
      <w:r>
        <w:rPr>
          <w:b/>
        </w:rPr>
        <w:t>EXIT STRATEGIES/MARKETING STRATEGIES</w:t>
      </w:r>
    </w:p>
    <w:p>
      <w:pPr>
        <w:pStyle w:val="Normal"/>
        <w:pBdr>
          <w:top w:val="single" w:sz="8" w:space="1" w:color="000000"/>
        </w:pBdr>
        <w:ind w:end="-36"/>
        <w:rPr>
          <w:b/>
        </w:rPr>
      </w:pPr>
      <w:r>
        <w:rPr>
          <w:b/>
        </w:rPr>
      </w:r>
    </w:p>
    <w:p>
      <w:pPr>
        <w:pStyle w:val="Normal"/>
        <w:numPr>
          <w:ilvl w:val="0"/>
          <w:numId w:val="13"/>
        </w:numPr>
        <w:pBdr>
          <w:top w:val="single" w:sz="8" w:space="1" w:color="000000"/>
        </w:pBdr>
        <w:ind w:hanging="360" w:start="360" w:end="-36"/>
        <w:rPr/>
      </w:pPr>
      <w:r>
        <w:rPr/>
        <w:t>Assign the agreement as a whole to a utility in ERCOT. PPAs done by third parties with TXU, Austin Energy and San Antonio  have specified prices said to be in the range of $29 to $30/MWh.</w:t>
      </w:r>
    </w:p>
    <w:p>
      <w:pPr>
        <w:pStyle w:val="Normal"/>
        <w:pBdr>
          <w:top w:val="single" w:sz="8" w:space="1" w:color="000000"/>
        </w:pBdr>
        <w:ind w:end="-36"/>
        <w:rPr/>
      </w:pPr>
      <w:r>
        <w:rPr/>
      </w:r>
    </w:p>
    <w:p>
      <w:pPr>
        <w:pStyle w:val="Normal"/>
        <w:numPr>
          <w:ilvl w:val="0"/>
          <w:numId w:val="13"/>
        </w:numPr>
        <w:pBdr>
          <w:top w:val="single" w:sz="8" w:space="1" w:color="000000"/>
        </w:pBdr>
        <w:ind w:hanging="360" w:start="360" w:end="-36"/>
        <w:rPr/>
      </w:pPr>
      <w:r>
        <w:rPr/>
        <w:t>Sell RECs via EnronOnline or the broker market and market the energy into the real time ERCOT balancing energy market.  REC sales may prove more profitable if sold outside of Texas.</w:t>
      </w:r>
    </w:p>
    <w:p>
      <w:pPr>
        <w:pStyle w:val="Normal"/>
        <w:pBdr>
          <w:top w:val="single" w:sz="8" w:space="1" w:color="000000"/>
        </w:pBdr>
        <w:ind w:end="-36"/>
        <w:rPr/>
      </w:pPr>
      <w:r>
        <w:rPr/>
      </w:r>
    </w:p>
    <w:p>
      <w:pPr>
        <w:pStyle w:val="Normal"/>
        <w:numPr>
          <w:ilvl w:val="0"/>
          <w:numId w:val="13"/>
        </w:numPr>
        <w:pBdr>
          <w:top w:val="single" w:sz="8" w:space="1" w:color="000000"/>
        </w:pBdr>
        <w:ind w:hanging="360" w:start="360" w:end="-36"/>
        <w:rPr>
          <w:i/>
          <w:i/>
        </w:rPr>
      </w:pPr>
      <w:r>
        <w:rPr/>
        <w:t>Package the renewable energy for sale to targeted customers who value the public relations value of purchasing renewable energy (work with Enron Energy Services and the New Power Company to market renewable energy to the retail sector).</w:t>
      </w:r>
      <w:r>
        <w:br w:type="page"/>
      </w:r>
    </w:p>
    <w:p>
      <w:pPr>
        <w:pStyle w:val="Heading2"/>
        <w:widowControl/>
        <w:pBdr>
          <w:top w:val="single" w:sz="8" w:space="1" w:color="000000"/>
        </w:pBdr>
        <w:ind w:hanging="0" w:start="0" w:end="-36"/>
        <w:rPr>
          <w:i w:val="false"/>
          <w:i w:val="false"/>
        </w:rPr>
      </w:pPr>
      <w:r>
        <w:rPr>
          <w:i w:val="false"/>
        </w:rPr>
        <w:t>RISK MATRIX</w:t>
      </w:r>
    </w:p>
    <w:p>
      <w:pPr>
        <w:pStyle w:val="Normal"/>
        <w:rPr>
          <w:i/>
          <w:i/>
        </w:rPr>
      </w:pPr>
      <w:r>
        <w:rPr>
          <w:i/>
        </w:rPr>
      </w:r>
    </w:p>
    <w:tbl>
      <w:tblPr>
        <w:tblW w:w="9990" w:type="dxa"/>
        <w:jc w:val="start"/>
        <w:tblInd w:w="378" w:type="dxa"/>
        <w:tblLayout w:type="fixed"/>
        <w:tblCellMar>
          <w:top w:w="0" w:type="dxa"/>
          <w:start w:w="108" w:type="dxa"/>
          <w:bottom w:w="0" w:type="dxa"/>
          <w:end w:w="108" w:type="dxa"/>
        </w:tblCellMar>
      </w:tblPr>
      <w:tblGrid>
        <w:gridCol w:w="2340"/>
        <w:gridCol w:w="7650"/>
      </w:tblGrid>
      <w:tr>
        <w:trPr/>
        <w:tc>
          <w:tcPr>
            <w:tcW w:w="23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76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234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b/>
              </w:rPr>
            </w:pPr>
            <w:r>
              <w:rPr>
                <w:b/>
              </w:rPr>
            </w:r>
          </w:p>
          <w:p>
            <w:pPr>
              <w:pStyle w:val="Heading1"/>
              <w:ind w:hanging="0" w:start="0"/>
              <w:rPr/>
            </w:pPr>
            <w:r>
              <w:rPr/>
              <w:t xml:space="preserve">Market Risk </w:t>
            </w:r>
          </w:p>
          <w:p>
            <w:pPr>
              <w:pStyle w:val="Normal"/>
              <w:rPr/>
            </w:pPr>
            <w:r>
              <w:rPr/>
            </w:r>
          </w:p>
          <w:p>
            <w:pPr>
              <w:pStyle w:val="Normal"/>
              <w:numPr>
                <w:ilvl w:val="0"/>
                <w:numId w:val="10"/>
              </w:numPr>
              <w:rPr/>
            </w:pPr>
            <w:r>
              <w:rPr/>
              <w:t xml:space="preserve">Decreasing wholesale power prices in Texas.  </w:t>
            </w:r>
          </w:p>
          <w:p>
            <w:pPr>
              <w:pStyle w:val="Normal"/>
              <w:rPr/>
            </w:pPr>
            <w:r>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jc w:val="both"/>
              <w:rPr/>
            </w:pPr>
            <w:r>
              <w:rPr/>
            </w:r>
          </w:p>
          <w:p>
            <w:pPr>
              <w:pStyle w:val="Normal"/>
              <w:jc w:val="both"/>
              <w:rPr/>
            </w:pPr>
            <w:r>
              <w:rPr/>
            </w:r>
          </w:p>
          <w:p>
            <w:pPr>
              <w:pStyle w:val="Normal"/>
              <w:numPr>
                <w:ilvl w:val="0"/>
                <w:numId w:val="12"/>
              </w:numPr>
              <w:jc w:val="both"/>
              <w:rPr/>
            </w:pPr>
            <w:r>
              <w:rPr/>
              <w:t xml:space="preserve">Hedge price exposure by selling power and/or gas forward.  Pursue assigning agreement to counterparty in the market.  Off-peak power trend is moving from coal/nuke to gas based pricing, thus increasing off-peak prices.  </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12"/>
              </w:numPr>
              <w:rPr/>
            </w:pPr>
            <w:r>
              <w:rPr/>
              <w:t>Intermittence of the wind generation causing imbalance penalties.</w:t>
            </w:r>
          </w:p>
          <w:p>
            <w:pPr>
              <w:pStyle w:val="Normal"/>
              <w:rPr/>
            </w:pPr>
            <w:r>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18"/>
              </w:numPr>
              <w:jc w:val="both"/>
              <w:rPr/>
            </w:pPr>
            <w:r>
              <w:rPr/>
              <w:t>EPMI intends to pursue assigning this agreement as a whole to a counterparty in ERCOT to shed this risk.  If this is not possible, EPMI will mitigate this risk through: (1) obtaining an exemption from imbalance penalties for renewable wind energy, (2) EPMI will be a Qualified Scheduling Entity (“QSE”) and thus have a +/-2% scheduling error (based on total schedules) before deemed an imbalance, (3) imbalance penalties are only assessed when regulation is dispatched on a ERCOT wide basis outside a large imbalance bandwidth, and (4) penalties only reduce payments for energy received associated with the imbalance based on the severity of regulation energy being dispatched.</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18"/>
              </w:numPr>
              <w:rPr/>
            </w:pPr>
            <w:r>
              <w:rPr/>
              <w:t>Transmission curtailments.</w:t>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7"/>
              </w:numPr>
              <w:jc w:val="both"/>
              <w:rPr/>
            </w:pPr>
            <w:r>
              <w:rPr/>
              <w:t>Delivery from the Facility may be impeded by transmission constraints due to new generation construction where the Facility will be built in West Texas, until certain transmission system upgrades are completed.  To mitigate this risk, (1) delivery under the PPA is not permitted until November 1, 2001, when the specified transmission system upgrades should be completed or near completion, (2) the PPA identifies certain critical transmission system upgrades and specifies staged increases in Annual Quantity, (3) EPMI has termination rights with no termination payment if an Uncontrollable Force transmission constraint of over 50% occurs for 210 consecutive days, (4) the Facility will have dual interconnects to separate 138kV and 69kV transmission lines  (both lines are being reconductored, 69kV is being increased to 138kV for increased capacity), and (5) a special protection scheme (system that allows a Facility to operate closer to the transmission failure limits) and wind gauges (higher velocity wind will increase transmission capacity) will be installed to increase the available transmission capacity.  The ERCOT ISO, EWC’s independent engineer, EPMI’s consultant, and AEP’s conservative transmission studies show there to be adequate transmission capacity available as transmission projects are completed.</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7"/>
              </w:numPr>
              <w:rPr/>
            </w:pPr>
            <w:r>
              <w:rPr/>
              <w:t>Local market power issues.</w:t>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15"/>
              </w:numPr>
              <w:jc w:val="both"/>
              <w:rPr/>
            </w:pPr>
            <w:r>
              <w:rPr/>
              <w:t>Output from the Facility could be captive of one or two players in West Texas due to the low number of load serving entities.  To mitigate this risk and also maximize value of energy, EPMI would sell to East Texas markets if advantageous.  Although moving power from West to East Texas is constrained, this constraint appears limited to the highest peak load days.  Historically, constraints transmitting power from West to East ERCOT during Jun00 through Oct00 occurred for 40 hours or 1.09% of the hours.  Beginning June 1, 2001, the ERCOT ISO will insure deliveries between zones and pass the congestion management costs equally to all loads, later costs of delivery will be passed to the actual users of constrained paths through purchased Transmission Congestion Rights.  As a further mitigation strategy, EPMI is pursuing selling power to local loads such as Texas-New Mexico Power.</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15"/>
              </w:numPr>
              <w:rPr/>
            </w:pPr>
            <w:r>
              <w:rPr/>
              <w:t>REC valuations are immature.</w:t>
            </w:r>
          </w:p>
          <w:p>
            <w:pPr>
              <w:pStyle w:val="Header"/>
              <w:widowControl/>
              <w:tabs>
                <w:tab w:val="clear" w:pos="4320"/>
                <w:tab w:val="clear" w:pos="8640"/>
              </w:tabs>
              <w:rPr/>
            </w:pPr>
            <w:r>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3"/>
              </w:numPr>
              <w:jc w:val="both"/>
              <w:rPr/>
            </w:pPr>
            <w:r>
              <w:rPr/>
              <w:t xml:space="preserve">Have assigned zero value to RECs for our analysis. </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3"/>
              </w:numPr>
              <w:rPr/>
            </w:pPr>
            <w:r>
              <w:rPr/>
              <w:t>Potential delay in Facility completion.</w:t>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15"/>
              </w:numPr>
              <w:jc w:val="both"/>
              <w:rPr/>
            </w:pPr>
            <w:r>
              <w:rPr/>
              <w:t>To reduce this risk, (i) the start of delivery commitments under the PPA are subject to a long lead time, (ii) it is an event of default if the Facility is not operational by the May 1, 2002, and (iii) delay in the Facility’s completion due to Uncontrollable Forces, while not giving rise to EPMI’s immediate ability to terminate the PPA, is subject to liquidated damages (capped at $10/MWh and an aggregate cap of $2.5 million).</w:t>
            </w:r>
          </w:p>
          <w:p>
            <w:pPr>
              <w:pStyle w:val="Normal"/>
              <w:jc w:val="both"/>
              <w:rPr/>
            </w:pPr>
            <w:r>
              <w:rPr/>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Header"/>
              <w:widowControl/>
              <w:numPr>
                <w:ilvl w:val="0"/>
                <w:numId w:val="15"/>
              </w:numPr>
              <w:tabs>
                <w:tab w:val="clear" w:pos="4320"/>
                <w:tab w:val="clear" w:pos="8640"/>
              </w:tabs>
              <w:rPr/>
            </w:pPr>
            <w:r>
              <w:rPr/>
              <w:t>Wind Velocity</w:t>
            </w:r>
          </w:p>
          <w:p>
            <w:pPr>
              <w:pStyle w:val="Header"/>
              <w:widowControl/>
              <w:tabs>
                <w:tab w:val="clear" w:pos="4320"/>
                <w:tab w:val="clear" w:pos="8640"/>
              </w:tabs>
              <w:rPr/>
            </w:pPr>
            <w:r>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ind w:hanging="432" w:start="342" w:end="0"/>
              <w:jc w:val="both"/>
              <w:rPr/>
            </w:pPr>
            <w:r>
              <w:rPr/>
            </w:r>
          </w:p>
          <w:p>
            <w:pPr>
              <w:pStyle w:val="Normal"/>
              <w:numPr>
                <w:ilvl w:val="0"/>
                <w:numId w:val="2"/>
              </w:numPr>
              <w:jc w:val="both"/>
              <w:rPr/>
            </w:pPr>
            <w:r>
              <w:rPr/>
              <w:t>To reduce this risk the Seller shall be obligated to pay EPMI a deficiency payment if      minimum power requirements for the year are not achieved. Wind speed is not an Uncontrollable Force in the Agreement.</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rPr/>
            </w:pPr>
            <w:r>
              <w:rPr/>
            </w:r>
          </w:p>
          <w:p>
            <w:pPr>
              <w:pStyle w:val="Header"/>
              <w:widowControl/>
              <w:tabs>
                <w:tab w:val="clear" w:pos="4320"/>
                <w:tab w:val="clear" w:pos="8640"/>
              </w:tabs>
              <w:rPr/>
            </w:pPr>
            <w:r>
              <w:rPr/>
              <w:t>8.     Time Constraints</w:t>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ind w:start="-18" w:end="0"/>
              <w:jc w:val="both"/>
              <w:rPr/>
            </w:pPr>
            <w:r>
              <w:rPr/>
            </w:r>
          </w:p>
          <w:p>
            <w:pPr>
              <w:pStyle w:val="Normal"/>
              <w:numPr>
                <w:ilvl w:val="0"/>
                <w:numId w:val="2"/>
              </w:numPr>
              <w:jc w:val="both"/>
              <w:rPr/>
            </w:pPr>
            <w:r>
              <w:rPr/>
              <w:t>To reduce risk the 15 minute time intervals allows the trader to assess their position   with the change in prices and volatility</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p>
            <w:pPr>
              <w:pStyle w:val="Normal"/>
              <w:rPr/>
            </w:pPr>
            <w:r>
              <w:rPr>
                <w:b/>
              </w:rPr>
              <w:t>REGULATORY RISK</w:t>
            </w:r>
            <w:r>
              <w:rPr/>
              <w:t xml:space="preserve"> </w:t>
            </w:r>
          </w:p>
          <w:p>
            <w:pPr>
              <w:pStyle w:val="Normal"/>
              <w:rPr/>
            </w:pPr>
            <w:r>
              <w:rPr/>
            </w:r>
          </w:p>
          <w:p>
            <w:pPr>
              <w:pStyle w:val="Normal"/>
              <w:numPr>
                <w:ilvl w:val="0"/>
                <w:numId w:val="11"/>
              </w:numPr>
              <w:rPr/>
            </w:pPr>
            <w:r>
              <w:rPr/>
              <w:t>Regulatory uncertainty regarding the governing Protocols in effect during the contract term.</w:t>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jc w:val="both"/>
              <w:rPr/>
            </w:pPr>
            <w:r>
              <w:rPr/>
            </w:r>
          </w:p>
          <w:p>
            <w:pPr>
              <w:pStyle w:val="Normal"/>
              <w:jc w:val="both"/>
              <w:rPr/>
            </w:pPr>
            <w:r>
              <w:rPr/>
            </w:r>
          </w:p>
          <w:p>
            <w:pPr>
              <w:pStyle w:val="Normal"/>
              <w:numPr>
                <w:ilvl w:val="0"/>
                <w:numId w:val="19"/>
              </w:numPr>
              <w:jc w:val="both"/>
              <w:rPr/>
            </w:pPr>
            <w:r>
              <w:rPr/>
              <w:t xml:space="preserve">The Protocols which will govern the ERCOT marketplace during the PPA’s contract term have been finalized but are pending PUCT approval.  Following the inauguration of retail access in June 1, 2001, further regulatory changes will no doubt take place, with could effect the parties’ obligations which cannot be anticipated.  Current Protocols for the new market allow equal to or better liquidity and access to the ERCOT market than exists today.  ERCOT uses a zonal approach that will take all intra-zonal congestion and pass the costs through to all load in ERCOT.  ERCOT’s zonal methodology helps alleviate intra-zonal point to point concerns.  </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11"/>
              </w:numPr>
              <w:rPr/>
            </w:pPr>
            <w:r>
              <w:rPr/>
              <w:t>New taxes for EPMI.</w:t>
            </w:r>
          </w:p>
          <w:p>
            <w:pPr>
              <w:pStyle w:val="Heading8"/>
              <w:ind w:hanging="0" w:start="0"/>
              <w:jc w:val="start"/>
              <w:rPr/>
            </w:pPr>
            <w:r>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6"/>
              </w:numPr>
              <w:jc w:val="both"/>
              <w:rPr/>
            </w:pPr>
            <w:r>
              <w:rPr/>
              <w:t>Any new taxes assessed on EPMI relating to this purchase of renewable energy that arises during the PPA’s term that EPMI elects not to bear, IMPP must either pay new taxes or provide notice to EPMI of their refusal.  If IMPP refuses to pay new taxes, EPMI can terminate the agreement within 30 days of receiving IMPP’s refusal notice.</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Heading8"/>
              <w:snapToGrid w:val="false"/>
              <w:ind w:hanging="0" w:start="0"/>
              <w:jc w:val="start"/>
              <w:rPr/>
            </w:pPr>
            <w:r>
              <w:rPr/>
            </w:r>
          </w:p>
          <w:p>
            <w:pPr>
              <w:pStyle w:val="Heading8"/>
              <w:ind w:hanging="0" w:start="0"/>
              <w:jc w:val="start"/>
              <w:rPr/>
            </w:pPr>
            <w:r>
              <w:rPr/>
              <w:t>CREDIT RISK</w:t>
            </w:r>
          </w:p>
          <w:p>
            <w:pPr>
              <w:pStyle w:val="Normal"/>
              <w:rPr>
                <w:b/>
              </w:rPr>
            </w:pPr>
            <w:r>
              <w:rPr>
                <w:b/>
              </w:rPr>
            </w:r>
          </w:p>
          <w:p>
            <w:pPr>
              <w:pStyle w:val="Normal"/>
              <w:numPr>
                <w:ilvl w:val="0"/>
                <w:numId w:val="9"/>
              </w:numPr>
              <w:rPr/>
            </w:pPr>
            <w:r>
              <w:rPr/>
              <w:t>IMPP is a project company with limited financial resources.</w:t>
            </w:r>
          </w:p>
          <w:p>
            <w:pPr>
              <w:pStyle w:val="Normal"/>
              <w:rPr/>
            </w:pPr>
            <w:r>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jc w:val="both"/>
              <w:rPr/>
            </w:pPr>
            <w:r>
              <w:rPr/>
            </w:r>
          </w:p>
          <w:p>
            <w:pPr>
              <w:pStyle w:val="Normal"/>
              <w:jc w:val="both"/>
              <w:rPr/>
            </w:pPr>
            <w:r>
              <w:rPr/>
            </w:r>
          </w:p>
          <w:p>
            <w:pPr>
              <w:pStyle w:val="Normal"/>
              <w:numPr>
                <w:ilvl w:val="0"/>
                <w:numId w:val="5"/>
              </w:numPr>
              <w:jc w:val="both"/>
              <w:rPr/>
            </w:pPr>
            <w:r>
              <w:rPr/>
              <w:t>IMPP must post $10MM of cash equivalents or letter of credit that is accessible to EPMI.  Deal is paying a $3.5MM credit reserve.  IMPP is required to procure and maintain specified minimum amounts of insurance.</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9"/>
              </w:numPr>
              <w:rPr/>
            </w:pPr>
            <w:r>
              <w:rPr/>
              <w:t>In the limited case of an Uncontrollable Force that has exceeded its cure period (180 days or for long lead time replacement parts 365 days), there is a $20MM cap on any termination payment that may arise.</w:t>
            </w:r>
          </w:p>
          <w:p>
            <w:pPr>
              <w:pStyle w:val="Normal"/>
              <w:rPr>
                <w:b/>
              </w:rPr>
            </w:pPr>
            <w:r>
              <w:rPr>
                <w:b/>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rPr>
            </w:pPr>
            <w:r>
              <w:rPr>
                <w:b/>
              </w:rPr>
            </w:r>
          </w:p>
          <w:p>
            <w:pPr>
              <w:pStyle w:val="Normal"/>
              <w:numPr>
                <w:ilvl w:val="0"/>
                <w:numId w:val="5"/>
              </w:numPr>
              <w:jc w:val="both"/>
              <w:rPr/>
            </w:pPr>
            <w:r>
              <w:rPr/>
              <w:t>Low probability that this event would occur.  Cap is bilateral and protects both parties for an event that by definition is out of either parties’ control.</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rPr>
                <w:b/>
              </w:rPr>
            </w:pPr>
            <w:r>
              <w:rPr>
                <w:b/>
              </w:rPr>
              <w:t>LEGAL RISK</w:t>
            </w:r>
          </w:p>
          <w:p>
            <w:pPr>
              <w:pStyle w:val="Normal"/>
              <w:rPr>
                <w:b/>
              </w:rPr>
            </w:pPr>
            <w:r>
              <w:rPr>
                <w:b/>
              </w:rPr>
            </w:r>
          </w:p>
          <w:p>
            <w:pPr>
              <w:pStyle w:val="Normal"/>
              <w:numPr>
                <w:ilvl w:val="0"/>
                <w:numId w:val="14"/>
              </w:numPr>
              <w:rPr/>
            </w:pPr>
            <w:r>
              <w:rPr/>
              <w:t>Certain events of default and termination events  under the PPA have elaborate safe harbor/cure provisions and extended cure periods, and PPA’s Lender Protection provisions state protections for IMPP debt and equity financing sources which could hamper EPMI’s ability to swiftly terminate PPA.</w:t>
            </w:r>
          </w:p>
          <w:p>
            <w:pPr>
              <w:pStyle w:val="Normal"/>
              <w:rPr>
                <w:b/>
              </w:rPr>
            </w:pPr>
            <w:r>
              <w:rPr>
                <w:b/>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rPr>
            </w:pPr>
            <w:r>
              <w:rPr>
                <w:b/>
              </w:rPr>
            </w:r>
          </w:p>
          <w:p>
            <w:pPr>
              <w:pStyle w:val="Normal"/>
              <w:jc w:val="both"/>
              <w:rPr/>
            </w:pPr>
            <w:r>
              <w:rPr/>
            </w:r>
          </w:p>
          <w:p>
            <w:pPr>
              <w:pStyle w:val="Normal"/>
              <w:numPr>
                <w:ilvl w:val="0"/>
                <w:numId w:val="16"/>
              </w:numPr>
              <w:jc w:val="both"/>
              <w:rPr/>
            </w:pPr>
            <w:r>
              <w:rPr/>
              <w:t>Termination provisions and Lender protection provisions were negotiated to correspond to EWC’s minimum comfort needed for lenders to secure financing.  Early termination payment is based on mark-to-market value of contract, excepting (i) EPMI’s right of termination for new taxes affecting EPMI (no termination payment by either party), (ii) termination in the event of prolonged Uncontrollable Force event ($20 million cap), and (iii) EPMI’s right to terminate after not receiving 50% of energy produced for 210 days due to transmission constraints (no termination payment by either party).</w:t>
            </w:r>
          </w:p>
          <w:p>
            <w:pPr>
              <w:pStyle w:val="Normal"/>
              <w:jc w:val="both"/>
              <w:rPr/>
            </w:pPr>
            <w:r>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p>
            <w:pPr>
              <w:pStyle w:val="Normal"/>
              <w:numPr>
                <w:ilvl w:val="0"/>
                <w:numId w:val="14"/>
              </w:numPr>
              <w:rPr/>
            </w:pPr>
            <w:r>
              <w:rPr/>
              <w:t xml:space="preserve">Damages for IMPP’s failure to deliver energy. </w:t>
            </w:r>
          </w:p>
          <w:p>
            <w:pPr>
              <w:pStyle w:val="Header"/>
              <w:widowControl/>
              <w:tabs>
                <w:tab w:val="clear" w:pos="4320"/>
                <w:tab w:val="clear" w:pos="8640"/>
              </w:tabs>
              <w:rPr/>
            </w:pPr>
            <w:r>
              <w:rPr/>
            </w:r>
          </w:p>
        </w:tc>
        <w:tc>
          <w:tcPr>
            <w:tcW w:w="765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p>
            <w:pPr>
              <w:pStyle w:val="Normal"/>
              <w:numPr>
                <w:ilvl w:val="0"/>
                <w:numId w:val="4"/>
              </w:numPr>
              <w:rPr/>
            </w:pPr>
            <w:r>
              <w:rPr/>
              <w:t>Several mechanisms exist to assure that EPMI gets the Annual Quantity or its equivalent value.  (i) IMPP is provided a monetary incentive for delivery in excess of the Annual Quantity each year, and will pay a deficiency payment as to any year involving a shortfall.  IMPP’s liability for a deficiency payment is adjusted when non-deliveries are a result of Uncontrollable Forces affecting the Facility’s production. (ii) IMPP can deliver market-purchased energy and RECs to EPMI to offset deficiencies accrued in a prior year, so long as such market-purchased energy and RECs are at least equivalent, in EPMI’s judgment, to the energy/RECs identified with the deficiency.  A separate risk that IM2 could exploit caps on prices used to calculate deficiency payments by selling energy/RECs in the marketplace at prices higher than the caps is addressed by starting each year’s tally of deliveries counting toward the Annual Quantity at the beginning of summer (May 1</w:t>
            </w:r>
            <w:r>
              <w:rPr>
                <w:vertAlign w:val="superscript"/>
              </w:rPr>
              <w:t>st</w:t>
            </w:r>
            <w:r>
              <w:rPr/>
              <w:t>), and prohibiting sales to third parties of any energy/RECs before the Annual Quantity is reached.</w:t>
            </w:r>
          </w:p>
          <w:p>
            <w:pPr>
              <w:pStyle w:val="Header"/>
              <w:widowControl/>
              <w:tabs>
                <w:tab w:val="clear" w:pos="4320"/>
                <w:tab w:val="clear" w:pos="8640"/>
              </w:tabs>
              <w:rPr/>
            </w:pPr>
            <w:r>
              <w:rPr/>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 xml:space="preserve">X             </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pBdr>
          <w:top w:val="single" w:sz="8" w:space="1" w:color="000000"/>
        </w:pBdr>
        <w:rPr>
          <w:b/>
        </w:rPr>
      </w:pPr>
      <w:r>
        <w:rPr>
          <w:b/>
        </w:rPr>
      </w:r>
    </w:p>
    <w:p>
      <w:pPr>
        <w:pStyle w:val="Normal"/>
        <w:numPr>
          <w:ilvl w:val="0"/>
          <w:numId w:val="8"/>
        </w:numPr>
        <w:rPr/>
      </w:pPr>
      <w:r>
        <w:rPr/>
        <w:t xml:space="preserve">Currently, this is an internal deal and it will not contribute to EPMI’s earnings until the first or second quarter of next year until sold to an equity investor. </w:t>
      </w:r>
    </w:p>
    <w:p>
      <w:pPr>
        <w:pStyle w:val="Normal"/>
        <w:numPr>
          <w:ilvl w:val="0"/>
          <w:numId w:val="8"/>
        </w:numPr>
        <w:rPr/>
      </w:pPr>
      <w:r>
        <w:rPr/>
        <w:t>ERCOT region remains illiquid, which makes it difficult to validate 20-year electricity prices in Texas</w:t>
      </w:r>
    </w:p>
    <w:p>
      <w:pPr>
        <w:pStyle w:val="Normal"/>
        <w:numPr>
          <w:ilvl w:val="0"/>
          <w:numId w:val="8"/>
        </w:numPr>
        <w:rPr/>
      </w:pPr>
      <w:r>
        <w:rPr/>
        <w:t>EPMI will have to manage intermittent electricity risk (in 15-minute increments)</w:t>
      </w:r>
    </w:p>
    <w:p>
      <w:pPr>
        <w:pStyle w:val="Normal"/>
        <w:rPr/>
      </w:pPr>
      <w:r>
        <w:rPr/>
      </w:r>
      <w:r>
        <w:br w:type="page"/>
      </w:r>
    </w:p>
    <w:p>
      <w:pPr>
        <w:pStyle w:val="Norma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Power Mid Markets</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Mike Curry/Ed Baughman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Power Desk</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Kevin Presto/Doug Gilbert-Smith</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Roger Ondreko</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Tax</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Steve Douglas</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Government Affairs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Jim Steffes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Commercial Transactions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Berney Aucoin/Edith Cross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NA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Dave Delainey/John Lavorato</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Rick Buy/Ted Murphy</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Chairman &amp; CEO EWS</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bl>
    <w:p>
      <w:pPr>
        <w:pStyle w:val="Normal"/>
        <w:rPr>
          <w:b/>
        </w:rPr>
      </w:pPr>
      <w:r>
        <w:rPr>
          <w:b/>
        </w:rPr>
        <w:tab/>
        <w:tab/>
        <w:tab/>
        <w:tab/>
      </w:r>
    </w:p>
    <w:sectPr>
      <w:headerReference w:type="default" r:id="rId2"/>
      <w:headerReference w:type="first" r:id="rId3"/>
      <w:footerReference w:type="default" r:id="rId4"/>
      <w:footerReference w:type="first" r:id="rId5"/>
      <w:type w:val="nextPage"/>
      <w:pgSz w:w="12240" w:h="15840"/>
      <w:pgMar w:left="1008" w:right="1008" w:gutter="0" w:header="720" w:top="837" w:footer="720" w:bottom="9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/mnt/main-storage/datasets/enron-docs/doc/Wind_Dash_Sheet_11_13_00.doc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TEXAS WIND </w:t>
    </w:r>
  </w:p>
  <w:p>
    <w:pPr>
      <w:pStyle w:val="Header"/>
      <w:widowControl/>
      <w:tabs>
        <w:tab w:val="clear" w:pos="4320"/>
        <w:tab w:val="clear" w:pos="8640"/>
        <w:tab w:val="right" w:pos="7920" w:leader="none"/>
      </w:tabs>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lvl>
  </w:abstractNum>
  <w:abstractNum w:abstractNumId="3">
    <w:lvl w:ilvl="0">
      <w:start w:val="5"/>
      <w:numFmt w:val="decimal"/>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2"/>
      <w:numFmt w:val="decimal"/>
      <w:lvlText w:val="%1."/>
      <w:lvlJc w:val="start"/>
      <w:pPr>
        <w:tabs>
          <w:tab w:val="num" w:pos="360"/>
        </w:tabs>
        <w:ind w:start="360" w:hanging="360"/>
      </w:pPr>
    </w:lvl>
  </w:abstractNum>
  <w:abstractNum w:abstractNumId="7">
    <w:lvl w:ilvl="0">
      <w:start w:val="3"/>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4"/>
      <w:numFmt w:val="decimal"/>
      <w:lvlText w:val="%1."/>
      <w:lvlJc w:val="start"/>
      <w:pPr>
        <w:tabs>
          <w:tab w:val="num" w:pos="360"/>
        </w:tabs>
        <w:ind w:start="360" w:hanging="360"/>
      </w:pPr>
    </w:lvl>
  </w:abstractNum>
  <w:abstractNum w:abstractNumId="16">
    <w:lvl w:ilvl="0">
      <w:start w:val="1"/>
      <w:numFmt w:val="decimal"/>
      <w:lvlText w:val="%1."/>
      <w:lvlJc w:val="start"/>
      <w:pPr>
        <w:tabs>
          <w:tab w:val="num" w:pos="375"/>
        </w:tabs>
        <w:ind w:start="375" w:hanging="375"/>
      </w:pPr>
      <w:rPr/>
    </w:lvl>
  </w:abstractNum>
  <w:abstractNum w:abstractNumId="17">
    <w:lvl w:ilvl="0">
      <w:start w:val="1"/>
      <w:numFmt w:val="decimal"/>
      <w:lvlText w:val="%1."/>
      <w:lvlJc w:val="start"/>
      <w:pPr>
        <w:tabs>
          <w:tab w:val="num" w:pos="360"/>
        </w:tabs>
        <w:ind w:start="360" w:hanging="360"/>
      </w:pPr>
    </w:lvl>
  </w:abstractNum>
  <w:abstractNum w:abstractNumId="18">
    <w:lvl w:ilvl="0">
      <w:start w:val="2"/>
      <w:numFmt w:val="decimal"/>
      <w:lvlText w:val="%1."/>
      <w:lvlJc w:val="start"/>
      <w:pPr>
        <w:tabs>
          <w:tab w:val="num" w:pos="360"/>
        </w:tabs>
        <w:ind w:start="360" w:hanging="360"/>
      </w:pPr>
    </w:lvl>
  </w:abstractNum>
  <w:abstractNum w:abstractNumId="19">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i/>
      <w:sz w:val="48"/>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both"/>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7z0">
    <w:name w:val="WW8Num7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5z0">
    <w:name w:val="WW8Num35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2880" w:start="2880" w:end="0"/>
    </w:pPr>
    <w:rPr/>
  </w:style>
  <w:style w:type="paragraph" w:styleId="BodyTextIndent2">
    <w:name w:val="Body Text Indent 2"/>
    <w:basedOn w:val="Normal"/>
    <w:qFormat/>
    <w:pPr>
      <w:ind w:hanging="2160" w:start="2160" w:end="0"/>
    </w:pPr>
    <w:rPr/>
  </w:style>
  <w:style w:type="paragraph" w:styleId="BlockText">
    <w:name w:val="Block Text"/>
    <w:basedOn w:val="Normal"/>
    <w:qFormat/>
    <w:pPr>
      <w:ind w:hanging="1152" w:start="1152" w:end="792"/>
    </w:pPr>
    <w:rPr/>
  </w:style>
  <w:style w:type="paragraph" w:styleId="BodyTextIndent3">
    <w:name w:val="Body Text Indent 3"/>
    <w:basedOn w:val="Normal"/>
    <w:qFormat/>
    <w:pPr>
      <w:spacing w:before="0" w:after="60"/>
      <w:ind w:hanging="2160" w:start="2160" w:end="0"/>
    </w:pPr>
    <w:rPr>
      <w:color w:val="00008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2000-11-13T13:06:00Z</dcterms:created>
  <dc:creator>mruane</dc:creator>
  <dc:description/>
  <dc:language>en-CA</dc:language>
  <cp:lastModifiedBy>Michael J. Curry</cp:lastModifiedBy>
  <cp:lastPrinted>2000-11-13T09:36:00Z</cp:lastPrinted>
  <dcterms:modified xsi:type="dcterms:W3CDTF">2000-11-13T13:07:00Z</dcterms:modified>
  <cp:revision>4</cp:revision>
  <dc:subject/>
  <dc:title>ENRON RISK ASSESSMENT AND CONTROL</dc:title>
</cp:coreProperties>
</file>