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t>UNITED STATES OF AMERICA</w:t>
      </w:r>
    </w:p>
    <w:p>
      <w:pPr>
        <w:pStyle w:val="Normal"/>
        <w:widowControl/>
        <w:jc w:val="center"/>
        <w:rPr>
          <w:rFonts w:ascii="Times New Roman" w:hAnsi="Times New Roman" w:cs="Times New Roman"/>
          <w:b/>
          <w:sz w:val="24"/>
        </w:rPr>
      </w:pPr>
      <w:r>
        <w:rPr>
          <w:rFonts w:cs="Times New Roman" w:ascii="Times New Roman" w:hAnsi="Times New Roman"/>
          <w:b/>
          <w:sz w:val="24"/>
        </w:rPr>
        <w:t>BEFORE THE</w:t>
      </w:r>
    </w:p>
    <w:p>
      <w:pPr>
        <w:pStyle w:val="Normal"/>
        <w:widowControl/>
        <w:jc w:val="center"/>
        <w:rPr>
          <w:rFonts w:ascii="Times New Roman" w:hAnsi="Times New Roman" w:cs="Times New Roman"/>
          <w:b/>
          <w:sz w:val="24"/>
        </w:rPr>
      </w:pPr>
      <w:r>
        <w:rPr>
          <w:rFonts w:cs="Times New Roman" w:ascii="Times New Roman" w:hAnsi="Times New Roman"/>
          <w:b/>
          <w:sz w:val="24"/>
        </w:rPr>
        <w:t>FEDERAL ENERGY REGULATORY COMMISSION</w:t>
      </w:r>
    </w:p>
    <w:p>
      <w:pPr>
        <w:pStyle w:val="Normal"/>
        <w:widowControl/>
        <w:rPr>
          <w:rFonts w:ascii="Times New Roman" w:hAnsi="Times New Roman" w:cs="Times New Roman"/>
          <w:b/>
          <w:sz w:val="24"/>
        </w:rPr>
      </w:pPr>
      <w:r>
        <w:rPr>
          <w:rFonts w:cs="Times New Roman" w:ascii="Times New Roman" w:hAnsi="Times New Roman"/>
          <w:b/>
          <w:sz w:val="24"/>
        </w:rPr>
      </w:r>
    </w:p>
    <w:p>
      <w:pPr>
        <w:pStyle w:val="Normal"/>
        <w:widowControl/>
        <w:rPr>
          <w:rFonts w:ascii="Times New Roman" w:hAnsi="Times New Roman" w:cs="Times New Roman"/>
          <w:b/>
          <w:sz w:val="24"/>
        </w:rPr>
      </w:pPr>
      <w:r>
        <w:rPr>
          <w:rFonts w:cs="Times New Roman" w:ascii="Times New Roman" w:hAnsi="Times New Roman"/>
          <w:b/>
          <w:sz w:val="24"/>
        </w:rPr>
      </w:r>
    </w:p>
    <w:p>
      <w:pPr>
        <w:pStyle w:val="Normal"/>
        <w:widowControl/>
        <w:rPr>
          <w:rFonts w:ascii="Times New Roman" w:hAnsi="Times New Roman" w:cs="Times New Roman"/>
          <w:b/>
          <w:sz w:val="24"/>
        </w:rPr>
      </w:pPr>
      <w:r>
        <w:rPr>
          <w:rFonts w:cs="Times New Roman" w:ascii="Times New Roman" w:hAnsi="Times New Roman"/>
          <w:b/>
          <w:sz w:val="24"/>
        </w:rPr>
      </w:r>
    </w:p>
    <w:p>
      <w:pPr>
        <w:pStyle w:val="Normal"/>
        <w:widowControl/>
        <w:rPr>
          <w:rFonts w:ascii="Times New Roman" w:hAnsi="Times New Roman" w:cs="Times New Roman"/>
          <w:b/>
          <w:sz w:val="24"/>
        </w:rPr>
      </w:pPr>
      <w:r>
        <w:rPr>
          <w:rFonts w:cs="Times New Roman" w:ascii="Times New Roman" w:hAnsi="Times New Roman"/>
          <w:b/>
          <w:sz w:val="24"/>
        </w:rPr>
        <w:t>New York Independent System Operator, Inc.</w:t>
        <w:tab/>
        <w:t xml:space="preserve">) </w:t>
        <w:tab/>
        <w:t>No.  ER01-1489-000</w:t>
      </w:r>
    </w:p>
    <w:p>
      <w:pPr>
        <w:pStyle w:val="Normal"/>
        <w:widowControl/>
        <w:rPr>
          <w:rFonts w:ascii="Times New Roman" w:hAnsi="Times New Roman" w:cs="Times New Roman"/>
          <w:b/>
          <w:sz w:val="24"/>
        </w:rPr>
      </w:pPr>
      <w:r>
        <w:rPr>
          <w:rFonts w:cs="Times New Roman" w:ascii="Times New Roman" w:hAnsi="Times New Roman"/>
          <w:b/>
          <w:sz w:val="24"/>
        </w:rPr>
      </w:r>
    </w:p>
    <w:p>
      <w:pPr>
        <w:pStyle w:val="Normal"/>
        <w:widowControl/>
        <w:rPr>
          <w:rFonts w:ascii="Times New Roman" w:hAnsi="Times New Roman" w:cs="Times New Roman"/>
          <w:b/>
          <w:sz w:val="24"/>
        </w:rPr>
      </w:pPr>
      <w:r>
        <w:rPr>
          <w:rFonts w:cs="Times New Roman" w:ascii="Times New Roman" w:hAnsi="Times New Roman"/>
          <w:b/>
          <w:sz w:val="24"/>
        </w:rPr>
      </w:r>
    </w:p>
    <w:p>
      <w:pPr>
        <w:pStyle w:val="Normal"/>
        <w:widowControl/>
        <w:rPr>
          <w:rFonts w:ascii="Times New Roman" w:hAnsi="Times New Roman" w:cs="Times New Roman"/>
          <w:b/>
          <w:sz w:val="24"/>
        </w:rPr>
      </w:pPr>
      <w:r>
        <w:rPr>
          <w:rFonts w:cs="Times New Roman" w:ascii="Times New Roman" w:hAnsi="Times New Roman"/>
          <w:b/>
          <w:sz w:val="24"/>
        </w:rPr>
      </w:r>
    </w:p>
    <w:p>
      <w:pPr>
        <w:pStyle w:val="Normal"/>
        <w:widowControl/>
        <w:jc w:val="center"/>
        <w:rPr>
          <w:rFonts w:ascii="Times New Roman" w:hAnsi="Times New Roman" w:cs="Times New Roman"/>
          <w:b/>
          <w:sz w:val="24"/>
        </w:rPr>
      </w:pPr>
      <w:r>
        <w:rPr>
          <w:rFonts w:cs="Times New Roman" w:ascii="Times New Roman" w:hAnsi="Times New Roman"/>
          <w:b/>
          <w:sz w:val="24"/>
        </w:rPr>
        <w:t>MOTION TO INTERVENE AND PROTEST OF</w:t>
      </w:r>
    </w:p>
    <w:p>
      <w:pPr>
        <w:pStyle w:val="Normal"/>
        <w:widowControl/>
        <w:jc w:val="center"/>
        <w:rPr>
          <w:rFonts w:ascii="Times New Roman" w:hAnsi="Times New Roman" w:cs="Times New Roman"/>
          <w:b/>
          <w:sz w:val="24"/>
          <w:u w:val="single"/>
        </w:rPr>
      </w:pPr>
      <w:r>
        <w:rPr>
          <w:rFonts w:cs="Times New Roman" w:ascii="Times New Roman" w:hAnsi="Times New Roman"/>
          <w:b/>
          <w:sz w:val="24"/>
          <w:u w:val="single"/>
        </w:rPr>
        <w:t>WILLIAMS ENERGY MARKETING &amp; TRADING COMPANY</w:t>
      </w:r>
    </w:p>
    <w:p>
      <w:pPr>
        <w:pStyle w:val="Normal"/>
        <w:widowControl/>
        <w:jc w:val="center"/>
        <w:rPr>
          <w:rFonts w:ascii="Times New Roman" w:hAnsi="Times New Roman" w:cs="Times New Roman"/>
          <w:b/>
          <w:sz w:val="24"/>
          <w:u w:val="single"/>
        </w:rPr>
      </w:pPr>
      <w:r>
        <w:rPr>
          <w:rFonts w:cs="Times New Roman" w:ascii="Times New Roman" w:hAnsi="Times New Roman"/>
          <w:b/>
          <w:sz w:val="24"/>
          <w:u w:val="single"/>
        </w:rPr>
      </w:r>
    </w:p>
    <w:p>
      <w:pPr>
        <w:pStyle w:val="BodyText2"/>
        <w:spacing w:lineRule="auto" w:line="480"/>
        <w:ind w:firstLine="720" w:end="0"/>
        <w:rPr>
          <w:rFonts w:ascii="Times New Roman" w:hAnsi="Times New Roman" w:cs="Times New Roman"/>
        </w:rPr>
      </w:pPr>
      <w:r>
        <w:rPr>
          <w:rFonts w:cs="Times New Roman" w:ascii="Times New Roman" w:hAnsi="Times New Roman"/>
        </w:rPr>
        <w:t>Pursuant to Rules 211 and 214 of the Commission’s Rules of Practice and Procedure, 18 C.F.R. §§ 385.211 and 385.214, and the March 15, 2001 Notice of Filing in the above-captioned docket, Williams Energy Marketing &amp; Trading Company (“Williams”) hereby files its Motion to Intervene and Protest in this proceeding.  In support of its Motion, Williams EM&amp;T states as follows:</w:t>
      </w:r>
    </w:p>
    <w:p>
      <w:pPr>
        <w:pStyle w:val="Normal"/>
        <w:widowControl/>
        <w:jc w:val="center"/>
        <w:rPr>
          <w:rFonts w:ascii="Times New Roman" w:hAnsi="Times New Roman" w:cs="Times New Roman"/>
          <w:b/>
          <w:sz w:val="24"/>
        </w:rPr>
      </w:pPr>
      <w:r>
        <w:rPr>
          <w:rFonts w:cs="Times New Roman" w:ascii="Times New Roman" w:hAnsi="Times New Roman"/>
          <w:b/>
          <w:sz w:val="24"/>
        </w:rPr>
        <w:t>I.</w:t>
      </w:r>
    </w:p>
    <w:p>
      <w:pPr>
        <w:pStyle w:val="Normal"/>
        <w:widowControl/>
        <w:jc w:val="center"/>
        <w:rPr>
          <w:rFonts w:ascii="Times New Roman" w:hAnsi="Times New Roman" w:cs="Times New Roman"/>
          <w:b/>
          <w:sz w:val="24"/>
          <w:u w:val="single"/>
        </w:rPr>
      </w:pPr>
      <w:r>
        <w:rPr>
          <w:rFonts w:cs="Times New Roman" w:ascii="Times New Roman" w:hAnsi="Times New Roman"/>
          <w:b/>
          <w:sz w:val="24"/>
          <w:u w:val="single"/>
        </w:rPr>
        <w:t>COMMUNICATIONS AND CORRESPONDENCE</w:t>
      </w:r>
    </w:p>
    <w:p>
      <w:pPr>
        <w:pStyle w:val="Normal"/>
        <w:widowControl/>
        <w:jc w:val="center"/>
        <w:rPr>
          <w:rFonts w:ascii="Times New Roman" w:hAnsi="Times New Roman" w:cs="Times New Roman"/>
          <w:b/>
          <w:sz w:val="24"/>
          <w:u w:val="single"/>
        </w:rPr>
      </w:pPr>
      <w:r>
        <w:rPr>
          <w:rFonts w:cs="Times New Roman" w:ascii="Times New Roman" w:hAnsi="Times New Roman"/>
          <w:b/>
          <w:sz w:val="24"/>
          <w:u w:val="single"/>
        </w:rPr>
      </w:r>
    </w:p>
    <w:p>
      <w:pPr>
        <w:pStyle w:val="BodyText2"/>
        <w:spacing w:lineRule="auto" w:line="480"/>
        <w:ind w:firstLine="720" w:end="0"/>
        <w:rPr>
          <w:rFonts w:ascii="Times New Roman" w:hAnsi="Times New Roman" w:cs="Times New Roman"/>
        </w:rPr>
      </w:pPr>
      <w:r>
        <w:rPr>
          <w:rFonts w:cs="Times New Roman" w:ascii="Times New Roman" w:hAnsi="Times New Roman"/>
        </w:rPr>
        <w:t>Williams requests that the following names be placed on the service list maintained for this proceeding by the Commission and that all correspondence and communications with respect to this proceeding be addressed to the following:</w:t>
      </w:r>
    </w:p>
    <w:p>
      <w:pPr>
        <w:pStyle w:val="Normal"/>
        <w:widowControl/>
        <w:ind w:firstLine="360" w:end="0"/>
        <w:rPr>
          <w:rFonts w:ascii="Times New Roman" w:hAnsi="Times New Roman" w:cs="Times New Roman"/>
          <w:sz w:val="24"/>
        </w:rPr>
      </w:pPr>
      <w:r>
        <w:rPr>
          <w:rFonts w:cs="Times New Roman" w:ascii="Times New Roman" w:hAnsi="Times New Roman"/>
          <w:sz w:val="24"/>
        </w:rPr>
      </w:r>
    </w:p>
    <w:p>
      <w:pPr>
        <w:pStyle w:val="Normal"/>
        <w:widowControl/>
        <w:ind w:firstLine="720" w:start="2160" w:end="0"/>
        <w:rPr>
          <w:rFonts w:ascii="Times New Roman" w:hAnsi="Times New Roman" w:cs="Times New Roman"/>
          <w:sz w:val="24"/>
        </w:rPr>
      </w:pPr>
      <w:r>
        <w:rPr>
          <w:rFonts w:cs="Times New Roman" w:ascii="Times New Roman" w:hAnsi="Times New Roman"/>
          <w:sz w:val="24"/>
        </w:rPr>
        <w:t xml:space="preserve">Alex A. Goldberg </w:t>
      </w:r>
    </w:p>
    <w:p>
      <w:pPr>
        <w:pStyle w:val="ListBullet2"/>
        <w:ind w:firstLine="720" w:start="2160" w:end="0"/>
        <w:rPr>
          <w:rFonts w:ascii="Times New Roman" w:hAnsi="Times New Roman" w:cs="Times New Roman"/>
          <w:sz w:val="24"/>
        </w:rPr>
      </w:pPr>
      <w:r>
        <w:rPr>
          <w:rFonts w:cs="Times New Roman" w:ascii="Times New Roman" w:hAnsi="Times New Roman"/>
          <w:sz w:val="24"/>
        </w:rPr>
        <w:t>John C. Gammie</w:t>
      </w:r>
    </w:p>
    <w:p>
      <w:pPr>
        <w:pStyle w:val="ListBullet2"/>
        <w:ind w:firstLine="720" w:start="2160" w:end="0"/>
        <w:rPr>
          <w:rFonts w:ascii="Times New Roman" w:hAnsi="Times New Roman" w:cs="Times New Roman"/>
          <w:sz w:val="24"/>
        </w:rPr>
      </w:pPr>
      <w:r>
        <w:rPr>
          <w:rFonts w:cs="Times New Roman" w:ascii="Times New Roman" w:hAnsi="Times New Roman"/>
          <w:sz w:val="24"/>
        </w:rPr>
        <w:t>Tim W. Muller</w:t>
      </w:r>
    </w:p>
    <w:p>
      <w:pPr>
        <w:pStyle w:val="BodyText3"/>
        <w:spacing w:lineRule="auto" w:line="240"/>
        <w:ind w:firstLine="720" w:start="2160" w:end="0"/>
        <w:rPr>
          <w:rFonts w:ascii="Times New Roman" w:hAnsi="Times New Roman" w:cs="Times New Roman"/>
        </w:rPr>
      </w:pPr>
      <w:r>
        <w:rPr>
          <w:rFonts w:cs="Times New Roman" w:ascii="Times New Roman" w:hAnsi="Times New Roman"/>
        </w:rPr>
        <w:t>THE WILLIAMS COMPANIES, INC.</w:t>
      </w:r>
    </w:p>
    <w:p>
      <w:pPr>
        <w:pStyle w:val="Heading1"/>
        <w:ind w:firstLine="720" w:start="2160" w:end="0"/>
        <w:rPr>
          <w:rFonts w:ascii="Times New Roman" w:hAnsi="Times New Roman" w:cs="Times New Roman"/>
        </w:rPr>
      </w:pPr>
      <w:r>
        <w:rPr>
          <w:rFonts w:cs="Times New Roman" w:ascii="Times New Roman" w:hAnsi="Times New Roman"/>
        </w:rPr>
        <w:t>One Williams Center</w:t>
      </w:r>
    </w:p>
    <w:p>
      <w:pPr>
        <w:pStyle w:val="Heading1"/>
        <w:ind w:firstLine="720" w:start="2160" w:end="0"/>
        <w:rPr>
          <w:rFonts w:ascii="Times New Roman" w:hAnsi="Times New Roman" w:cs="Times New Roman"/>
        </w:rPr>
      </w:pPr>
      <w:r>
        <w:rPr>
          <w:rFonts w:cs="Times New Roman" w:ascii="Times New Roman" w:hAnsi="Times New Roman"/>
        </w:rPr>
        <w:t>Suite 4100, MS 41-3</w:t>
      </w:r>
    </w:p>
    <w:p>
      <w:pPr>
        <w:pStyle w:val="ListBullet2"/>
        <w:ind w:firstLine="720" w:start="2160" w:end="0"/>
        <w:rPr>
          <w:rFonts w:ascii="Times New Roman" w:hAnsi="Times New Roman" w:cs="Times New Roman"/>
          <w:sz w:val="24"/>
        </w:rPr>
      </w:pPr>
      <w:r>
        <w:rPr>
          <w:rFonts w:cs="Times New Roman" w:ascii="Times New Roman" w:hAnsi="Times New Roman"/>
          <w:sz w:val="24"/>
        </w:rPr>
        <w:t>Tulsa, Oklahoma 74172</w:t>
      </w:r>
    </w:p>
    <w:p>
      <w:pPr>
        <w:pStyle w:val="ListBullet2"/>
        <w:ind w:firstLine="720" w:start="2160" w:end="0"/>
        <w:rPr>
          <w:rFonts w:ascii="Times New Roman" w:hAnsi="Times New Roman" w:cs="Times New Roman"/>
          <w:sz w:val="24"/>
        </w:rPr>
      </w:pPr>
      <w:r>
        <w:rPr>
          <w:rFonts w:cs="Times New Roman" w:ascii="Times New Roman" w:hAnsi="Times New Roman"/>
          <w:sz w:val="24"/>
        </w:rPr>
        <w:t>Telephone: (918) 573-3901</w:t>
        <w:tab/>
      </w:r>
    </w:p>
    <w:p>
      <w:pPr>
        <w:pStyle w:val="ListBullet2"/>
        <w:ind w:firstLine="720" w:start="2160" w:end="0"/>
        <w:rPr>
          <w:rFonts w:ascii="Times New Roman" w:hAnsi="Times New Roman" w:cs="Times New Roman"/>
          <w:sz w:val="24"/>
        </w:rPr>
      </w:pPr>
      <w:r>
        <w:rPr>
          <w:rFonts w:cs="Times New Roman" w:ascii="Times New Roman" w:hAnsi="Times New Roman"/>
          <w:sz w:val="24"/>
        </w:rPr>
        <w:t>Facsimile: (918) 573-6928</w:t>
      </w:r>
      <w:r>
        <w:br w:type="page"/>
      </w:r>
    </w:p>
    <w:p>
      <w:pPr>
        <w:pStyle w:val="Normal"/>
        <w:widowControl/>
        <w:jc w:val="center"/>
        <w:rPr>
          <w:rFonts w:ascii="Times New Roman" w:hAnsi="Times New Roman" w:cs="Times New Roman"/>
          <w:b/>
          <w:sz w:val="24"/>
        </w:rPr>
      </w:pPr>
      <w:r>
        <w:rPr>
          <w:rFonts w:cs="Times New Roman" w:ascii="Times New Roman" w:hAnsi="Times New Roman"/>
          <w:b/>
          <w:sz w:val="24"/>
        </w:rPr>
        <w:t>II.</w:t>
      </w:r>
    </w:p>
    <w:p>
      <w:pPr>
        <w:pStyle w:val="Normal"/>
        <w:widowControl/>
        <w:jc w:val="center"/>
        <w:rPr>
          <w:rFonts w:ascii="Times New Roman" w:hAnsi="Times New Roman" w:cs="Times New Roman"/>
          <w:b/>
          <w:sz w:val="24"/>
          <w:u w:val="single"/>
        </w:rPr>
      </w:pPr>
      <w:r>
        <w:rPr>
          <w:rFonts w:cs="Times New Roman" w:ascii="Times New Roman" w:hAnsi="Times New Roman"/>
          <w:b/>
          <w:sz w:val="24"/>
          <w:u w:val="single"/>
        </w:rPr>
        <w:t>BASIS FOR INTERVENTION</w:t>
      </w:r>
    </w:p>
    <w:p>
      <w:pPr>
        <w:pStyle w:val="Normal"/>
        <w:widowControl/>
        <w:jc w:val="center"/>
        <w:rPr>
          <w:rFonts w:ascii="Times New Roman" w:hAnsi="Times New Roman" w:cs="Times New Roman"/>
          <w:b/>
          <w:sz w:val="24"/>
          <w:u w:val="single"/>
        </w:rPr>
      </w:pPr>
      <w:r>
        <w:rPr>
          <w:rFonts w:cs="Times New Roman" w:ascii="Times New Roman" w:hAnsi="Times New Roman"/>
          <w:b/>
          <w:sz w:val="24"/>
          <w:u w:val="single"/>
        </w:rPr>
      </w:r>
    </w:p>
    <w:p>
      <w:pPr>
        <w:pStyle w:val="BodyText2"/>
        <w:spacing w:lineRule="auto" w:line="480"/>
        <w:ind w:firstLine="720" w:end="0"/>
        <w:rPr/>
      </w:pPr>
      <w:r>
        <w:rPr>
          <w:rFonts w:cs="Times New Roman" w:ascii="Times New Roman" w:hAnsi="Times New Roman"/>
        </w:rPr>
        <w:t>Williams, a wholly-owned subsidiary of The Williams Companies, Inc. (“TWC”), is an electric power marketer subject to the Commission’s jurisdiction under the Federal Power Act.  Williams is an active energy and ancillary services marketer throughout the United States, selling energy and ancillary services at wholesale pursuant to market-based rate authority granted by the Commission.</w:t>
      </w:r>
      <w:r>
        <w:rPr>
          <w:rStyle w:val="FootnoteCharacters"/>
          <w:rStyle w:val="FootnoteReference"/>
          <w:rFonts w:cs="Times New Roman" w:ascii="Times New Roman" w:hAnsi="Times New Roman"/>
        </w:rPr>
        <w:footnoteReference w:id="2"/>
      </w:r>
      <w:r>
        <w:rPr>
          <w:rFonts w:cs="Times New Roman" w:ascii="Times New Roman" w:hAnsi="Times New Roman"/>
        </w:rPr>
        <w:t xml:space="preserve">  Williams’ current and anticipated power marketing activities include electric power generation located within the New York Independent System Operator, Inc.’s (“NYISO”) control area.</w:t>
      </w:r>
    </w:p>
    <w:p>
      <w:pPr>
        <w:pStyle w:val="BodyText2"/>
        <w:spacing w:lineRule="auto" w:line="480"/>
        <w:ind w:firstLine="720" w:end="0"/>
        <w:rPr>
          <w:rFonts w:ascii="Times New Roman" w:hAnsi="Times New Roman" w:cs="Times New Roman"/>
        </w:rPr>
      </w:pPr>
      <w:r>
        <w:rPr>
          <w:rFonts w:cs="Times New Roman" w:ascii="Times New Roman" w:hAnsi="Times New Roman"/>
        </w:rPr>
        <w:t>In its present filing, the NYISO requests that the Commission approve yet another extension of its Temporary Extraordinary Procedures (“TEP”), until October 31, 2001.  The NYISO’s current TEP authority expires on April 30, 2001.  The NYISO requests an effective date of May 1, 2001.</w:t>
      </w:r>
    </w:p>
    <w:p>
      <w:pPr>
        <w:pStyle w:val="BodyText2"/>
        <w:spacing w:lineRule="auto" w:line="480"/>
        <w:ind w:firstLine="720" w:end="0"/>
        <w:rPr>
          <w:rFonts w:ascii="Times New Roman" w:hAnsi="Times New Roman" w:cs="Times New Roman"/>
        </w:rPr>
      </w:pPr>
      <w:r>
        <w:rPr>
          <w:rFonts w:cs="Times New Roman" w:ascii="Times New Roman" w:hAnsi="Times New Roman"/>
        </w:rPr>
        <w:t>Based upon Williams’ current and anticipated power marketing activities, Williams EM&amp;T has a direct and substantial interest in this proceeding and will be directly affected by its outcome.  Williams’ interests are not and cannot be adequately represented or protected by any other party.  Moreover, Williams’ participation in this proceeding is in the public interest.  Under such circumstances, good cause exists to grant Williams’ motion to intervene.</w:t>
      </w:r>
    </w:p>
    <w:p>
      <w:pPr>
        <w:pStyle w:val="BodyText2"/>
        <w:spacing w:lineRule="auto" w:line="240"/>
        <w:jc w:val="center"/>
        <w:rPr>
          <w:rFonts w:ascii="Times New Roman" w:hAnsi="Times New Roman" w:cs="Times New Roman"/>
          <w:b/>
        </w:rPr>
      </w:pPr>
      <w:r>
        <w:rPr>
          <w:rFonts w:cs="Times New Roman" w:ascii="Times New Roman" w:hAnsi="Times New Roman"/>
          <w:b/>
        </w:rPr>
        <w:t>III.</w:t>
      </w:r>
    </w:p>
    <w:p>
      <w:pPr>
        <w:pStyle w:val="BodyText2"/>
        <w:spacing w:lineRule="auto" w:line="240"/>
        <w:jc w:val="center"/>
        <w:rPr>
          <w:rFonts w:ascii="Times New Roman" w:hAnsi="Times New Roman" w:cs="Times New Roman"/>
        </w:rPr>
      </w:pPr>
      <w:r>
        <w:rPr>
          <w:rFonts w:cs="Times New Roman" w:ascii="Times New Roman" w:hAnsi="Times New Roman"/>
          <w:b/>
        </w:rPr>
        <w:t>PROTEST</w:t>
      </w:r>
    </w:p>
    <w:p>
      <w:pPr>
        <w:pStyle w:val="Normal"/>
        <w:rPr>
          <w:rFonts w:ascii="Times New Roman" w:hAnsi="Times New Roman" w:cs="Times New Roman"/>
          <w:sz w:val="24"/>
        </w:rPr>
      </w:pPr>
      <w:r>
        <w:rPr>
          <w:rFonts w:cs="Times New Roman" w:ascii="Times New Roman" w:hAnsi="Times New Roman"/>
          <w:sz w:val="24"/>
        </w:rPr>
      </w:r>
    </w:p>
    <w:p>
      <w:pPr>
        <w:pStyle w:val="BodyText2"/>
        <w:widowControl w:val="false"/>
        <w:spacing w:lineRule="auto" w:line="480"/>
        <w:rPr>
          <w:rFonts w:ascii="Times New Roman" w:hAnsi="Times New Roman" w:cs="Times New Roman"/>
        </w:rPr>
      </w:pPr>
      <w:r>
        <w:rPr>
          <w:rFonts w:cs="Times New Roman" w:ascii="Times New Roman" w:hAnsi="Times New Roman"/>
        </w:rPr>
        <w:tab/>
        <w:t>In its present filing, the NYISO, for the fifth time, requests Commission approval for the extension of its TEP.  For the following reasons, Williams protests any such extension and urges the Commission to reject the same.</w:t>
      </w:r>
    </w:p>
    <w:p>
      <w:pPr>
        <w:pStyle w:val="Normal"/>
        <w:spacing w:lineRule="auto" w:line="480"/>
        <w:jc w:val="both"/>
        <w:rPr/>
      </w:pPr>
      <w:r>
        <w:rPr>
          <w:rFonts w:cs="Times New Roman" w:ascii="Times New Roman" w:hAnsi="Times New Roman"/>
        </w:rPr>
        <w:tab/>
      </w:r>
      <w:r>
        <w:rPr>
          <w:rFonts w:cs="Times New Roman" w:ascii="Times New Roman" w:hAnsi="Times New Roman"/>
          <w:sz w:val="24"/>
        </w:rPr>
        <w:t xml:space="preserve"> </w:t>
      </w:r>
      <w:r>
        <w:rPr>
          <w:rFonts w:cs="Times New Roman" w:ascii="Times New Roman" w:hAnsi="Times New Roman"/>
          <w:b/>
          <w:sz w:val="24"/>
        </w:rPr>
        <w:t>A.</w:t>
        <w:tab/>
      </w:r>
      <w:r>
        <w:rPr>
          <w:rFonts w:cs="Times New Roman" w:ascii="Times New Roman" w:hAnsi="Times New Roman"/>
          <w:b/>
          <w:sz w:val="24"/>
          <w:u w:val="single"/>
        </w:rPr>
        <w:t>The TEP is an Inappropriate Solution to Market Flaws</w:t>
      </w:r>
    </w:p>
    <w:p>
      <w:pPr>
        <w:pStyle w:val="BodyText2"/>
        <w:widowControl w:val="false"/>
        <w:spacing w:lineRule="auto" w:line="480"/>
        <w:rPr>
          <w:rFonts w:ascii="Times New Roman" w:hAnsi="Times New Roman" w:cs="Times New Roman"/>
        </w:rPr>
      </w:pPr>
      <w:r>
        <w:rPr>
          <w:rFonts w:cs="Times New Roman" w:ascii="Times New Roman" w:hAnsi="Times New Roman"/>
        </w:rPr>
        <w:tab/>
        <w:t>Williams, like other market participants, believes that the best solution toward the development of competitive markets is to not impose mechanisms designed to replicate regulated, not competitive, markets.  The long-term effect of the TEP is to delay the maturation of the market and lessen the incentive for the NYISO and market participants to correct the underlying problems.  In a competitive market, supply and demand must interact freely to determine price – after the fact price “corrections” act contrary to, and necessarily disrupt, the continuing development of a competitive market.</w:t>
      </w:r>
    </w:p>
    <w:p>
      <w:pPr>
        <w:pStyle w:val="Normal"/>
        <w:spacing w:lineRule="auto" w:line="480"/>
        <w:ind w:firstLine="720" w:end="0"/>
        <w:jc w:val="both"/>
        <w:rPr/>
      </w:pPr>
      <w:r>
        <w:rPr>
          <w:rFonts w:cs="Times New Roman" w:ascii="Times New Roman" w:hAnsi="Times New Roman"/>
          <w:sz w:val="24"/>
        </w:rPr>
        <w:t>Williams thus agrees with Chairman Hébert in his dissent to the Commission’s November 21, 2000 Order extending the TEP to April 30, 2001,</w:t>
      </w:r>
      <w:r>
        <w:rPr>
          <w:rStyle w:val="FootnoteCharacters"/>
          <w:rStyle w:val="FootnoteReference"/>
          <w:rFonts w:cs="Times New Roman" w:ascii="Times New Roman" w:hAnsi="Times New Roman"/>
          <w:sz w:val="24"/>
        </w:rPr>
        <w:footnoteReference w:id="3"/>
      </w:r>
      <w:r>
        <w:rPr>
          <w:rFonts w:cs="Times New Roman" w:ascii="Times New Roman" w:hAnsi="Times New Roman"/>
          <w:sz w:val="24"/>
        </w:rPr>
        <w:t xml:space="preserve"> where then Commissioner Hébert states that he would terminate the authority of the NYISO “to change . . . the prices it pays sellers of electricity, after the fact, and to order bids into the market. . . .”  As Chairman Hébert found, “[r]etroactive price changes . . . create uncertainty in the market, [and] uncertainty drives suppliers from the market. . . .  This kind of conduct undermines competition, to the detriment of consumers.”  Indeed, Chairman Hébert recognized that temporary fixes, such as TEP, reduce the incentive for market participants to correct underlying problems where he states that “measures such as this, under which an ISO can manipulate the market, prevent participants from making tough decisions to set things right.”</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Moreover, the NYISO represents that the “number of price corrections is . . . falling dramatically.”  Consequently, inasmuch as the NYISO reports that it rarely uses its TEP authority, Williams, like Chairman Hébert, sees “no benefit to the market” of continuing such authority.</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However, despite NYISO’s many attempts to paint the TEP as a seldom used device, the Attachments hereto, derived from publicly posted NYISO OASIS information, clearly show that the number of price corrections have not decreased and after-the-fact price revisions remain a problem.  Williams also believes that these Attachments effectively disprove NYISO’s comment that the “number of price corrections is . . . falling dramatically.”  The data clearly demonstrates that, in some cases, the NYISO has retroactively changed pricing as much as eleven months following the transaction date.  It is intuitively clear to Williams that the NYISO uses the TEP process as a “crutch” whereas the real root cause of NYISO’s problems, i.e., flawed market design, remain unsolved.  Williams predicts that if the Commission approves NYISO’s request for extension of the TEPs, a request to extend price caps in New York (an additional “crutch”) cannot be far behind.  Both of these temporary mechanisms simply respond to addressing specific symptoms and fall short of addressing the real root cause – flawed market design.  The information presented in the Attachments thus reinforces Chairman Hébert’s recognition that retroactive price changes create uncertainty in the market.</w:t>
      </w:r>
    </w:p>
    <w:p>
      <w:pPr>
        <w:pStyle w:val="BodyText2"/>
        <w:widowControl w:val="false"/>
        <w:spacing w:lineRule="auto" w:line="480"/>
        <w:ind w:firstLine="720" w:end="0"/>
        <w:rPr>
          <w:rFonts w:ascii="Times New Roman" w:hAnsi="Times New Roman" w:cs="Times New Roman"/>
          <w:b/>
        </w:rPr>
      </w:pPr>
      <w:r>
        <w:rPr>
          <w:rFonts w:cs="Times New Roman" w:ascii="Times New Roman" w:hAnsi="Times New Roman"/>
          <w:b/>
        </w:rPr>
        <w:t>B.</w:t>
        <w:tab/>
      </w:r>
      <w:r>
        <w:rPr>
          <w:rFonts w:cs="Times New Roman" w:ascii="Times New Roman" w:hAnsi="Times New Roman"/>
          <w:b/>
          <w:u w:val="single"/>
        </w:rPr>
        <w:t>The NYISO Does Not Intend its TEP Authority to be Temporary</w:t>
      </w:r>
    </w:p>
    <w:p>
      <w:pPr>
        <w:pStyle w:val="Normal"/>
        <w:spacing w:lineRule="auto" w:line="480"/>
        <w:jc w:val="both"/>
        <w:rPr>
          <w:rFonts w:ascii="Times New Roman" w:hAnsi="Times New Roman" w:cs="Times New Roman"/>
          <w:sz w:val="24"/>
        </w:rPr>
      </w:pPr>
      <w:r>
        <w:rPr>
          <w:rFonts w:cs="Times New Roman" w:ascii="Times New Roman" w:hAnsi="Times New Roman"/>
          <w:sz w:val="24"/>
        </w:rPr>
        <w:tab/>
        <w:t>The Commission first approved the TEP for a 90-day period from the date of the NYISO’s commencement of operations on November 18, 1999.  This 90-day period expired on February 16, 2000.  The Commission later extended, on March 29, 2000, the TEP for an additional 90-day period, with an expiration date of May 16, 2000.  The TEP was subsequently extended two additional times – on June 25, 2000, the Commission extended TEP authority to October 31, 2000, and on November 21, 2000, the Commission extended TEP authority to its present expiration date of April 30, 2001.  The NYISO now requests yet an additional extension of TEP, this time for a period of approximately 18 months, to expire on October 31, 2002.  Accordingly, the Commission should recognize at the outset that the “TEP” label is a misnomer, i.e., there is nothing “temporary” about the NYISO’s “Temporary Extraordinary Procedures.”  Instead, it appears that the NYISO views the TEP as a permanent market fixture.</w:t>
      </w:r>
      <w:r>
        <w:rPr>
          <w:rStyle w:val="FootnoteCharacters"/>
          <w:rStyle w:val="FootnoteReference"/>
          <w:rFonts w:cs="Times New Roman" w:ascii="Times New Roman" w:hAnsi="Times New Roman"/>
          <w:sz w:val="24"/>
        </w:rPr>
        <w:footnoteReference w:id="4"/>
      </w:r>
    </w:p>
    <w:p>
      <w:pPr>
        <w:pStyle w:val="Normal"/>
        <w:spacing w:lineRule="auto" w:line="480"/>
        <w:jc w:val="both"/>
        <w:rPr>
          <w:rFonts w:ascii="Times New Roman" w:hAnsi="Times New Roman" w:cs="Times New Roman"/>
          <w:sz w:val="24"/>
        </w:rPr>
      </w:pPr>
      <w:r>
        <w:rPr>
          <w:rFonts w:cs="Times New Roman" w:ascii="Times New Roman" w:hAnsi="Times New Roman"/>
          <w:sz w:val="24"/>
        </w:rPr>
        <w:tab/>
        <w:t>While on the surface of its filing, the NYISO merely requests an 18-month extension of the TEP, it is apparent from a close reading of the filing that, if the presently requested extension is approved, the Commission can expect the NYISO to again petition the Commission for another extension approximately 18 months from today’s date.  The NYISO cites the following as grounds for its present request: (1) the “TEPs were, and remain, an indispensable tool for responding to and correcting market flaws and other instances where the markets are not operating as the NYISO and the Commission intended;” (2) “the NYISO anticipates that the possibility of unexpected market design problems or anomalies will always be present to some extent [and] the NYISO will continue to implement software or market improvements, whether from improved technology, new market products, or requests for market changes from Market Participants. . . .  [T]he implementation of such major initiatives will likely uncover unforeseeable market problems that can most effectively be addressed through the exercise of TEP authority;” (3) New York’s energy supply-related infrastructure faces “critical challenges,” and electric supply constraints “will continue to strain the NYISO-administered energy markets in New York,” thereby necessitating the existence of a tool, i.e., TEP, that will enable the NYISO to respond to supply problems; (4) the TEP provides a “well-defined procedural framework for the exercise of [the NYISO’s price correction authority] when market flaws are detected;” and (5) “the ability to take an issue-specific Emergency Corrective Action under the TEPs is an important backstop for the NYISO while the energy market under its administration remains capacity constrained.”  However, the NYISO’s reliance on these grounds for making its request to extend its TEP authority reveals that there is nothing temporary in the TEP.</w:t>
      </w:r>
    </w:p>
    <w:p>
      <w:pPr>
        <w:pStyle w:val="BodyTextIndent2"/>
        <w:widowControl w:val="false"/>
        <w:spacing w:lineRule="auto" w:line="480"/>
        <w:rPr>
          <w:rFonts w:ascii="Times New Roman" w:hAnsi="Times New Roman" w:cs="Times New Roman"/>
        </w:rPr>
      </w:pPr>
      <w:r>
        <w:rPr>
          <w:rFonts w:cs="Times New Roman" w:ascii="Times New Roman" w:hAnsi="Times New Roman"/>
        </w:rPr>
        <w:t>NYISO has failed to meet its burden to demonstrate the necessity of any further extensions of the TEP which were intended to be a temporary tool.  Williams contends that by NYISO’s own account, price corrections have become less frequent since commencing operations, which supports the elimination, not continuation, of the TEP authority.  NYISO further argues that the existing imbalance between the supply of and demand for electricity in New York is likely to continue for some time and that given this anticipated tightness in the market, the margin for error is very small and that minor design flaws can have extremely serious price and reliability consequences.  NYISO further states that until the stresses of a summer demand are known, and the NYISO implements market improvements or adopts new rules, these flaws may possibly have adverse consequences until the supply situation begins to improve.</w:t>
      </w:r>
    </w:p>
    <w:p>
      <w:pPr>
        <w:pStyle w:val="Normal"/>
        <w:spacing w:lineRule="auto" w:line="480"/>
        <w:jc w:val="both"/>
        <w:rPr>
          <w:rFonts w:ascii="Times New Roman" w:hAnsi="Times New Roman" w:cs="Times New Roman"/>
          <w:sz w:val="24"/>
        </w:rPr>
      </w:pPr>
      <w:r>
        <w:rPr>
          <w:rFonts w:cs="Times New Roman" w:ascii="Times New Roman" w:hAnsi="Times New Roman"/>
          <w:sz w:val="24"/>
        </w:rPr>
        <w:tab/>
        <w:t>The NYISO practically admits the permanence of TEP when it argues that the “TEPs . . . remain, an indispensable tool for responding to and correcting market flaws and other instances where the markets are not operating as the NYISO and the Commission intended.”  However, market flaws will likely always exist to some extent, even in a mature market, and market participants will have to address such flaws as they arise and are discovered.  If the NYISO is seeking to justify a continuation of TEP on the grounds that the TEP is necessary to respond to market flaws, then the Commission may as well consider the Extraordinary Procedures to be nearly permanent in nature.</w:t>
      </w:r>
    </w:p>
    <w:p>
      <w:pPr>
        <w:pStyle w:val="Normal"/>
        <w:spacing w:lineRule="auto" w:line="480"/>
        <w:jc w:val="both"/>
        <w:rPr/>
      </w:pPr>
      <w:r>
        <w:rPr>
          <w:rFonts w:cs="Times New Roman" w:ascii="Times New Roman" w:hAnsi="Times New Roman"/>
          <w:sz w:val="24"/>
        </w:rPr>
        <w:tab/>
        <w:t>Second, the NYISO states that it anticipates that unexpected market design problems will always be present to some extent, and that it will continue to implement software or market improvements, whether from improved technology, new market products, or requests for market changes from Market Participants.  The NYISO then argues that the implementation of such major initiatives will likely uncover unforeseeable market problems that can most effectively be addressed through the exercise of TEP authority.</w:t>
      </w:r>
      <w:r>
        <w:rPr>
          <w:rStyle w:val="FootnoteCharacters"/>
          <w:rStyle w:val="FootnoteReference"/>
          <w:rFonts w:cs="Times New Roman" w:ascii="Times New Roman" w:hAnsi="Times New Roman"/>
          <w:sz w:val="24"/>
        </w:rPr>
        <w:footnoteReference w:id="5"/>
      </w:r>
      <w:r>
        <w:rPr>
          <w:rFonts w:cs="Times New Roman" w:ascii="Times New Roman" w:hAnsi="Times New Roman"/>
          <w:sz w:val="24"/>
        </w:rPr>
        <w:t xml:space="preserve">  Again, however, by making this argument, the NYISO quite clearly admits that it views the TEP to be permanent in nature.  If market design problems will “always” be present, as the NYISO believes, and if corrections to such design problems will likely uncover unforeseeable market problems that can best be addressed through the TEP, then it is truly disingenuous for the NYISO to continue to refer to such Extraordinary measures as temporary.  Rather, this argument is in reality an argument for the permanence of TEP.</w:t>
      </w:r>
    </w:p>
    <w:p>
      <w:pPr>
        <w:pStyle w:val="Normal"/>
        <w:spacing w:lineRule="auto" w:line="480"/>
        <w:jc w:val="both"/>
        <w:rPr>
          <w:rFonts w:ascii="Times New Roman" w:hAnsi="Times New Roman" w:cs="Times New Roman"/>
          <w:sz w:val="24"/>
        </w:rPr>
      </w:pPr>
      <w:r>
        <w:rPr>
          <w:rFonts w:cs="Times New Roman" w:ascii="Times New Roman" w:hAnsi="Times New Roman"/>
          <w:sz w:val="24"/>
        </w:rPr>
        <w:tab/>
        <w:t>Third, the NYISO states that New York’s energy supply-related infrastructure faces “critical challenges,” and New York will continue to suffer from electric supply constraints, thereby necessitating the TEP to enable the NYISO to respond to supply problems.  Without offering any specifics addressing the identified supply and infrastructure problem, the NYISO simply states that it is hopeful that, by October 31, 2002 “significant progress will also have been made towards addressing tight supply conditions in New York.”  The NYISO, however, promises nothing with respect to resolving these supply issues, and it is debatable from the present filing whether the NYISO actually believes that supply problems will be corrected within 18 months.  Thus, it should be expected that the NYISO will again seek an extension of the TEP as October 2002 approaches.</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Quite clearly, then, the NYISO does not, in fact, request a “temporary” extension of the TEP.  Rather, the filing demonstrates that the NYISO is laying a foundation for a future request that the TEP become permanent.  Not only is this evident in the present filing, it is also evident in the history of the TEP.  As noted above, the present filing marks the fifth time that the NYISO has requested an extension of the TEP.  At first, the TEP was extended for 90 days at a time.  Later, the TEP was extended to five months at a time.  Now, the NYISO seeks to extend the TEP for 18 months.  The next logical step is a request to extend the TEP indefinitely.</w:t>
      </w:r>
    </w:p>
    <w:p>
      <w:pPr>
        <w:pStyle w:val="Normal"/>
        <w:spacing w:lineRule="auto" w:line="480"/>
        <w:ind w:firstLine="720" w:end="0"/>
        <w:jc w:val="both"/>
        <w:rPr/>
      </w:pPr>
      <w:r>
        <w:rPr>
          <w:rFonts w:cs="Times New Roman" w:ascii="Times New Roman" w:hAnsi="Times New Roman"/>
          <w:b/>
          <w:sz w:val="24"/>
        </w:rPr>
        <w:t>C.</w:t>
        <w:tab/>
      </w:r>
      <w:r>
        <w:rPr>
          <w:rFonts w:cs="Times New Roman" w:ascii="Times New Roman" w:hAnsi="Times New Roman"/>
          <w:b/>
          <w:sz w:val="24"/>
          <w:u w:val="single"/>
        </w:rPr>
        <w:t>Alternatively, Should the Commission Grant Yet Another Extension of the TEP, Certain Conditions Should be Imposed and a Firm Sunset Date Should be Established</w:t>
      </w:r>
    </w:p>
    <w:p>
      <w:pPr>
        <w:pStyle w:val="Heading4"/>
        <w:rPr/>
      </w:pPr>
      <w:r>
        <w:rPr/>
        <w:t xml:space="preserve">Should the Commission decide to once again extend the TEP, the Commission should impose certain conditions on the use of such authority and establish a firm sunset date.  First, the Commission should direct NYISO to define a market condition, similar to a Stage 3 emergency in California, where any such price adjustment is appropriate on an interim basis.  Further, since there is an issue as to the frequency and extent which NYISO uses its current TEP authority, the Commission should additionally direct NYISO to file weekly reports with the Commission, with notice to all market participants, showing each proposed price change, the reason for the change, the beneficiaries of the change, the benefactors, a plan to eliminate the need for this type of change (given that the TEP is purportedly “temporary”), the schedule for implementing that plan, and the progress toward completion of that plan.  On a weekly basis, the NYISO should be required to report the status of all such plans, any schedule changes, and the progress toward completing the plan.  Once the NYIO proposes a plan with a completion date, that type of price change should end on that date, regardless of whether the NYISO has fully executed its plan.  The Commission should further direct the NYISO to commit to a schedule for presenting permanent market structure rules, with stakeholder participation, for the Commission’s review, by a date certain.  If the NYISO fails to meet this deadline, the interim mitigation measures should be terminated.  </w:t>
      </w:r>
    </w:p>
    <w:p>
      <w:pPr>
        <w:pStyle w:val="Heading4"/>
        <w:rPr/>
      </w:pPr>
      <w:r>
        <w:rPr/>
        <w:t>Additionally, the Commission should direct that retroactive price changes cannot be made by the NYISO after a specific period of time.  Market certainty dictates that such a period be limited to no more than 30 days after the close of any given month.</w:t>
      </w:r>
    </w:p>
    <w:p>
      <w:pPr>
        <w:pStyle w:val="Heading4"/>
        <w:rPr/>
      </w:pPr>
      <w:r>
        <w:rPr/>
        <w:t>In keeping with Chairman Hébert’s recognition that temporary fixes reduce the incentive for market participants to correct underlying problems, Williams’ believes that its proposal will serve to prevent the NYISO from continuing to use its TEP authority as a crutch in lieu of fixing the cause of identified market problems.  Anything less will practically ensure the NYISO’s continued, and indefinite reliance upon temporary fixes.</w:t>
      </w:r>
    </w:p>
    <w:p>
      <w:pPr>
        <w:pStyle w:val="BodyText2"/>
        <w:spacing w:lineRule="auto" w:line="240"/>
        <w:jc w:val="center"/>
        <w:rPr>
          <w:rFonts w:ascii="Times New Roman" w:hAnsi="Times New Roman" w:cs="Times New Roman"/>
          <w:b/>
        </w:rPr>
      </w:pPr>
      <w:r>
        <w:rPr>
          <w:rFonts w:cs="Times New Roman" w:ascii="Times New Roman" w:hAnsi="Times New Roman"/>
          <w:b/>
        </w:rPr>
        <w:t>IV.</w:t>
      </w:r>
    </w:p>
    <w:p>
      <w:pPr>
        <w:pStyle w:val="BodyText2"/>
        <w:spacing w:lineRule="auto" w:line="240"/>
        <w:jc w:val="center"/>
        <w:rPr>
          <w:rFonts w:ascii="Times New Roman" w:hAnsi="Times New Roman" w:cs="Times New Roman"/>
          <w:b/>
          <w:u w:val="single"/>
        </w:rPr>
      </w:pPr>
      <w:r>
        <w:rPr>
          <w:rFonts w:cs="Times New Roman" w:ascii="Times New Roman" w:hAnsi="Times New Roman"/>
          <w:b/>
          <w:u w:val="single"/>
        </w:rPr>
        <w:t>CONCLUSION</w:t>
      </w:r>
    </w:p>
    <w:p>
      <w:pPr>
        <w:pStyle w:val="BodyText2"/>
        <w:spacing w:lineRule="auto" w:line="240"/>
        <w:ind w:firstLine="720" w:end="0"/>
        <w:jc w:val="center"/>
        <w:rPr>
          <w:rFonts w:ascii="Times New Roman" w:hAnsi="Times New Roman" w:cs="Times New Roman"/>
          <w:b/>
          <w:u w:val="single"/>
        </w:rPr>
      </w:pPr>
      <w:r>
        <w:rPr>
          <w:rFonts w:cs="Times New Roman" w:ascii="Times New Roman" w:hAnsi="Times New Roman"/>
          <w:b/>
          <w:u w:val="single"/>
        </w:rPr>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t>Accordingly, for the foregoing reasons the Commission should reject the requested extension.  Alternatively, should the Commission decide to once again extend the TEP, Williams urges the Commission to impose certain conditions and establish a firm deadline for the expiration of TEP from which the Commission will not waiver.</w:t>
      </w:r>
    </w:p>
    <w:p>
      <w:pPr>
        <w:pStyle w:val="Normal"/>
        <w:spacing w:lineRule="auto" w:line="480"/>
        <w:ind w:firstLine="720" w:end="0"/>
        <w:jc w:val="both"/>
        <w:rPr>
          <w:rFonts w:ascii="Times New Roman" w:hAnsi="Times New Roman" w:cs="Times New Roman"/>
          <w:sz w:val="24"/>
        </w:rPr>
      </w:pPr>
      <w:r>
        <w:rPr>
          <w:rFonts w:cs="Times New Roman" w:ascii="Times New Roman" w:hAnsi="Times New Roman"/>
          <w:sz w:val="24"/>
        </w:rPr>
      </w:r>
    </w:p>
    <w:p>
      <w:pPr>
        <w:pStyle w:val="Normal"/>
        <w:widowControl/>
        <w:rPr>
          <w:rFonts w:ascii="Times New Roman" w:hAnsi="Times New Roman" w:cs="Times New Roman"/>
          <w:sz w:val="24"/>
        </w:rPr>
      </w:pPr>
      <w:r>
        <w:rPr>
          <w:rFonts w:cs="Times New Roman" w:ascii="Times New Roman" w:hAnsi="Times New Roman"/>
          <w:sz w:val="24"/>
        </w:rPr>
        <w:tab/>
        <w:tab/>
        <w:tab/>
        <w:tab/>
        <w:tab/>
        <w:tab/>
      </w:r>
    </w:p>
    <w:p>
      <w:pPr>
        <w:pStyle w:val="Normal"/>
        <w:widowControl/>
        <w:rPr>
          <w:rFonts w:ascii="Times New Roman" w:hAnsi="Times New Roman" w:cs="Times New Roman"/>
          <w:sz w:val="24"/>
        </w:rPr>
      </w:pPr>
      <w:r>
        <w:rPr>
          <w:rFonts w:cs="Times New Roman" w:ascii="Times New Roman" w:hAnsi="Times New Roman"/>
          <w:sz w:val="24"/>
        </w:rPr>
      </w:r>
    </w:p>
    <w:p>
      <w:pPr>
        <w:pStyle w:val="Normal"/>
        <w:widowControl/>
        <w:ind w:firstLine="720" w:start="3600" w:end="0"/>
        <w:rPr>
          <w:rFonts w:ascii="Times New Roman" w:hAnsi="Times New Roman" w:cs="Times New Roman"/>
          <w:sz w:val="24"/>
        </w:rPr>
      </w:pPr>
      <w:r>
        <w:rPr>
          <w:rFonts w:cs="Times New Roman" w:ascii="Times New Roman" w:hAnsi="Times New Roman"/>
          <w:sz w:val="24"/>
        </w:rPr>
        <w:t>Respectfully submitted,</w:t>
      </w:r>
    </w:p>
    <w:p>
      <w:pPr>
        <w:pStyle w:val="BodyTextIndent3"/>
        <w:rPr/>
      </w:pPr>
      <w:r>
        <w:rPr/>
        <w:t>WILLIAMS ENERGY MARKETING &amp; TRADING COMPANY</w:t>
      </w:r>
    </w:p>
    <w:p>
      <w:pPr>
        <w:pStyle w:val="Normal"/>
        <w:widowControl/>
        <w:rPr>
          <w:rFonts w:ascii="Times New Roman" w:hAnsi="Times New Roman" w:cs="Times New Roman"/>
          <w:sz w:val="24"/>
        </w:rPr>
      </w:pPr>
      <w:r>
        <w:rPr>
          <w:rFonts w:cs="Times New Roman" w:ascii="Times New Roman" w:hAnsi="Times New Roman"/>
          <w:sz w:val="24"/>
        </w:rPr>
      </w:r>
    </w:p>
    <w:p>
      <w:pPr>
        <w:pStyle w:val="Normal"/>
        <w:widowControl/>
        <w:rPr>
          <w:rFonts w:ascii="Times New Roman" w:hAnsi="Times New Roman" w:cs="Times New Roman"/>
          <w:sz w:val="24"/>
        </w:rPr>
      </w:pPr>
      <w:r>
        <w:rPr>
          <w:rFonts w:cs="Times New Roman" w:ascii="Times New Roman" w:hAnsi="Times New Roman"/>
          <w:sz w:val="24"/>
        </w:rPr>
        <w:tab/>
        <w:tab/>
        <w:tab/>
        <w:tab/>
        <w:tab/>
        <w:t xml:space="preserve">By: </w:t>
      </w:r>
      <w:r>
        <w:rPr>
          <w:rFonts w:cs="Times New Roman" w:ascii="Times New Roman" w:hAnsi="Times New Roman"/>
          <w:sz w:val="24"/>
          <w:u w:val="single"/>
        </w:rPr>
        <w:t xml:space="preserve">     ______________________________                                          </w:t>
      </w:r>
    </w:p>
    <w:p>
      <w:pPr>
        <w:pStyle w:val="Normal"/>
        <w:widowControl/>
        <w:rPr>
          <w:rFonts w:ascii="Times New Roman" w:hAnsi="Times New Roman" w:cs="Times New Roman"/>
          <w:sz w:val="24"/>
        </w:rPr>
      </w:pPr>
      <w:r>
        <w:rPr>
          <w:rFonts w:cs="Times New Roman" w:ascii="Times New Roman" w:hAnsi="Times New Roman"/>
          <w:sz w:val="24"/>
        </w:rPr>
        <w:tab/>
        <w:tab/>
        <w:tab/>
        <w:tab/>
        <w:tab/>
        <w:tab/>
        <w:t>Alex A. Goldberg,</w:t>
      </w:r>
    </w:p>
    <w:p>
      <w:pPr>
        <w:pStyle w:val="Normal"/>
        <w:widowControl/>
        <w:rPr>
          <w:rFonts w:ascii="Times New Roman" w:hAnsi="Times New Roman" w:cs="Times New Roman"/>
          <w:sz w:val="24"/>
        </w:rPr>
      </w:pPr>
      <w:r>
        <w:rPr>
          <w:rFonts w:cs="Times New Roman" w:ascii="Times New Roman" w:hAnsi="Times New Roman"/>
          <w:sz w:val="24"/>
        </w:rPr>
        <w:tab/>
        <w:tab/>
        <w:tab/>
        <w:tab/>
        <w:tab/>
        <w:t xml:space="preserve">    </w:t>
        <w:tab/>
        <w:t xml:space="preserve">  Senior Regulatory Counsel</w:t>
      </w:r>
    </w:p>
    <w:p>
      <w:pPr>
        <w:pStyle w:val="Normal"/>
        <w:widowControl/>
        <w:rPr>
          <w:rFonts w:ascii="Times New Roman" w:hAnsi="Times New Roman" w:cs="Times New Roman"/>
          <w:sz w:val="24"/>
        </w:rPr>
      </w:pPr>
      <w:r>
        <w:rPr>
          <w:rFonts w:cs="Times New Roman" w:ascii="Times New Roman" w:hAnsi="Times New Roman"/>
          <w:sz w:val="24"/>
        </w:rPr>
        <w:tab/>
        <w:tab/>
        <w:tab/>
        <w:tab/>
        <w:tab/>
        <w:tab/>
        <w:t>John C. Gammie, Assistant General Counsel</w:t>
      </w:r>
    </w:p>
    <w:p>
      <w:pPr>
        <w:pStyle w:val="Normal"/>
        <w:widowControl/>
        <w:rPr>
          <w:rFonts w:ascii="Times New Roman" w:hAnsi="Times New Roman" w:cs="Times New Roman"/>
          <w:sz w:val="24"/>
        </w:rPr>
      </w:pPr>
      <w:r>
        <w:rPr>
          <w:rFonts w:cs="Times New Roman" w:ascii="Times New Roman" w:hAnsi="Times New Roman"/>
          <w:sz w:val="24"/>
        </w:rPr>
        <w:tab/>
        <w:tab/>
        <w:tab/>
        <w:tab/>
        <w:tab/>
        <w:tab/>
        <w:t>Tim W. Muller, Attorney</w:t>
      </w:r>
    </w:p>
    <w:p>
      <w:pPr>
        <w:pStyle w:val="Normal"/>
        <w:widowControl/>
        <w:rPr>
          <w:rFonts w:ascii="Times New Roman" w:hAnsi="Times New Roman" w:cs="Times New Roman"/>
          <w:sz w:val="24"/>
        </w:rPr>
      </w:pPr>
      <w:r>
        <w:rPr>
          <w:rFonts w:cs="Times New Roman" w:ascii="Times New Roman" w:hAnsi="Times New Roman"/>
          <w:sz w:val="24"/>
        </w:rPr>
        <w:tab/>
        <w:tab/>
        <w:tab/>
        <w:tab/>
        <w:tab/>
        <w:tab/>
        <w:t>THE WILLIAMS COMPANIES, INC.</w:t>
      </w:r>
    </w:p>
    <w:p>
      <w:pPr>
        <w:pStyle w:val="Normal"/>
        <w:widowControl/>
        <w:rPr>
          <w:rFonts w:ascii="Times New Roman" w:hAnsi="Times New Roman" w:cs="Times New Roman"/>
          <w:sz w:val="24"/>
        </w:rPr>
      </w:pPr>
      <w:r>
        <w:rPr>
          <w:rFonts w:cs="Times New Roman" w:ascii="Times New Roman" w:hAnsi="Times New Roman"/>
          <w:sz w:val="24"/>
        </w:rPr>
        <w:tab/>
        <w:tab/>
        <w:tab/>
        <w:tab/>
        <w:tab/>
        <w:tab/>
        <w:t>One Williams Center</w:t>
      </w:r>
    </w:p>
    <w:p>
      <w:pPr>
        <w:pStyle w:val="Normal"/>
        <w:widowControl/>
        <w:rPr>
          <w:rFonts w:ascii="Times New Roman" w:hAnsi="Times New Roman" w:cs="Times New Roman"/>
          <w:sz w:val="24"/>
        </w:rPr>
      </w:pPr>
      <w:r>
        <w:rPr>
          <w:rFonts w:cs="Times New Roman" w:ascii="Times New Roman" w:hAnsi="Times New Roman"/>
          <w:sz w:val="24"/>
        </w:rPr>
        <w:tab/>
        <w:tab/>
        <w:tab/>
        <w:tab/>
        <w:tab/>
        <w:tab/>
        <w:t>Suite 4100, MS 41-3</w:t>
      </w:r>
    </w:p>
    <w:p>
      <w:pPr>
        <w:pStyle w:val="Normal"/>
        <w:widowControl/>
        <w:rPr>
          <w:rFonts w:ascii="Times New Roman" w:hAnsi="Times New Roman" w:cs="Times New Roman"/>
          <w:sz w:val="24"/>
        </w:rPr>
      </w:pPr>
      <w:r>
        <w:rPr>
          <w:rFonts w:cs="Times New Roman" w:ascii="Times New Roman" w:hAnsi="Times New Roman"/>
          <w:sz w:val="24"/>
        </w:rPr>
        <w:tab/>
        <w:tab/>
        <w:tab/>
        <w:tab/>
        <w:tab/>
        <w:tab/>
        <w:t>Tulsa, Oklahoma 74172</w:t>
      </w:r>
    </w:p>
    <w:p>
      <w:pPr>
        <w:pStyle w:val="Normal"/>
        <w:widowControl/>
        <w:rPr>
          <w:rFonts w:ascii="Times New Roman" w:hAnsi="Times New Roman" w:cs="Times New Roman"/>
          <w:sz w:val="24"/>
        </w:rPr>
      </w:pPr>
      <w:r>
        <w:rPr>
          <w:rFonts w:cs="Times New Roman" w:ascii="Times New Roman" w:hAnsi="Times New Roman"/>
          <w:sz w:val="24"/>
        </w:rPr>
        <w:tab/>
        <w:tab/>
        <w:tab/>
        <w:tab/>
        <w:tab/>
        <w:tab/>
        <w:t>Telephone: (918) 573-3901</w:t>
      </w:r>
    </w:p>
    <w:p>
      <w:pPr>
        <w:pStyle w:val="Normal"/>
        <w:widowControl/>
        <w:rPr>
          <w:rFonts w:ascii="Times New Roman" w:hAnsi="Times New Roman" w:cs="Times New Roman"/>
          <w:sz w:val="24"/>
        </w:rPr>
      </w:pPr>
      <w:r>
        <w:rPr>
          <w:rFonts w:cs="Times New Roman" w:ascii="Times New Roman" w:hAnsi="Times New Roman"/>
          <w:sz w:val="24"/>
        </w:rPr>
        <w:tab/>
        <w:tab/>
        <w:tab/>
        <w:tab/>
        <w:tab/>
        <w:tab/>
        <w:t>Facsimile: (918) 573-6928</w:t>
        <w:tab/>
      </w:r>
    </w:p>
    <w:p>
      <w:pPr>
        <w:pStyle w:val="Normal"/>
        <w:widowControl/>
        <w:rPr>
          <w:rFonts w:ascii="Times New Roman" w:hAnsi="Times New Roman" w:cs="Times New Roman"/>
          <w:sz w:val="24"/>
        </w:rPr>
      </w:pPr>
      <w:r>
        <w:rPr>
          <w:rFonts w:cs="Times New Roman" w:ascii="Times New Roman" w:hAnsi="Times New Roman"/>
          <w:sz w:val="24"/>
        </w:rPr>
        <w:tab/>
        <w:tab/>
        <w:tab/>
        <w:tab/>
        <w:tab/>
        <w:tab/>
        <w:tab/>
      </w:r>
    </w:p>
    <w:p>
      <w:pPr>
        <w:pStyle w:val="BodyTextIndent"/>
        <w:rPr>
          <w:rFonts w:ascii="Times New Roman" w:hAnsi="Times New Roman" w:cs="Times New Roman"/>
          <w:sz w:val="24"/>
        </w:rPr>
      </w:pPr>
      <w:r>
        <w:rPr>
          <w:rFonts w:cs="Times New Roman" w:ascii="Times New Roman" w:hAnsi="Times New Roman"/>
          <w:sz w:val="24"/>
        </w:rPr>
      </w:r>
    </w:p>
    <w:p>
      <w:pPr>
        <w:pStyle w:val="BodyText"/>
        <w:jc w:val="start"/>
        <w:rPr>
          <w:rFonts w:ascii="Times New Roman" w:hAnsi="Times New Roman" w:cs="Times New Roman"/>
          <w:sz w:val="24"/>
        </w:rPr>
      </w:pPr>
      <w:r>
        <w:rPr>
          <w:rFonts w:cs="Times New Roman" w:ascii="Times New Roman" w:hAnsi="Times New Roman"/>
          <w:sz w:val="24"/>
        </w:rPr>
      </w:r>
    </w:p>
    <w:p>
      <w:pPr>
        <w:pStyle w:val="BodyText"/>
        <w:jc w:val="start"/>
        <w:rPr>
          <w:rFonts w:ascii="Times New Roman" w:hAnsi="Times New Roman" w:cs="Times New Roman"/>
          <w:sz w:val="24"/>
        </w:rPr>
      </w:pPr>
      <w:r>
        <w:rPr>
          <w:rFonts w:cs="Times New Roman" w:ascii="Times New Roman" w:hAnsi="Times New Roman"/>
          <w:sz w:val="24"/>
        </w:rPr>
        <w:t>Dated: March **, 2001</w:t>
      </w:r>
      <w:r>
        <w:br w:type="page"/>
      </w:r>
    </w:p>
    <w:p>
      <w:pPr>
        <w:pStyle w:val="BodyText"/>
        <w:jc w:val="center"/>
        <w:rPr>
          <w:rFonts w:ascii="Times New Roman" w:hAnsi="Times New Roman" w:cs="Times New Roman"/>
          <w:b/>
          <w:sz w:val="24"/>
          <w:u w:val="single"/>
        </w:rPr>
      </w:pPr>
      <w:r>
        <w:rPr>
          <w:rFonts w:cs="Times New Roman" w:ascii="Times New Roman" w:hAnsi="Times New Roman"/>
          <w:b/>
          <w:sz w:val="24"/>
          <w:u w:val="single"/>
        </w:rPr>
        <w:t>CERTIFICATE OF SERVICE</w:t>
      </w:r>
    </w:p>
    <w:p>
      <w:pPr>
        <w:pStyle w:val="BodyText2"/>
        <w:spacing w:lineRule="auto" w:line="240"/>
        <w:rPr>
          <w:rFonts w:ascii="Times New Roman" w:hAnsi="Times New Roman" w:cs="Times New Roman"/>
          <w:b/>
          <w:sz w:val="24"/>
          <w:u w:val="single"/>
        </w:rPr>
      </w:pPr>
      <w:r>
        <w:rPr>
          <w:rFonts w:cs="Times New Roman" w:ascii="Times New Roman" w:hAnsi="Times New Roman"/>
          <w:b/>
          <w:sz w:val="24"/>
          <w:u w:val="single"/>
        </w:rPr>
      </w:r>
    </w:p>
    <w:p>
      <w:pPr>
        <w:pStyle w:val="BodyText2"/>
        <w:spacing w:lineRule="auto" w:line="240"/>
        <w:ind w:firstLine="720" w:end="0"/>
        <w:rPr>
          <w:rFonts w:ascii="Times New Roman" w:hAnsi="Times New Roman" w:cs="Times New Roman"/>
        </w:rPr>
      </w:pPr>
      <w:r>
        <w:rPr>
          <w:rFonts w:cs="Times New Roman" w:ascii="Times New Roman" w:hAnsi="Times New Roman"/>
        </w:rPr>
        <w:t xml:space="preserve">I, Tim W. Muller, hereby certify that I have on this March **, 2001, served copies of the foregoing document upon each person designated on the official service list compiled by the Secretary in this proceeding. </w:t>
      </w:r>
    </w:p>
    <w:p>
      <w:pPr>
        <w:pStyle w:val="BodyText2"/>
        <w:spacing w:lineRule="auto" w:line="240"/>
        <w:rPr>
          <w:rFonts w:ascii="Times New Roman" w:hAnsi="Times New Roman" w:cs="Times New Roman"/>
        </w:rPr>
      </w:pPr>
      <w:r>
        <w:rPr>
          <w:rFonts w:cs="Times New Roman" w:ascii="Times New Roman" w:hAnsi="Times New Roman"/>
        </w:rPr>
      </w:r>
    </w:p>
    <w:p>
      <w:pPr>
        <w:pStyle w:val="BodyText2"/>
        <w:spacing w:lineRule="auto" w:line="240"/>
        <w:rPr>
          <w:rFonts w:ascii="Times New Roman" w:hAnsi="Times New Roman" w:cs="Times New Roman"/>
        </w:rPr>
      </w:pPr>
      <w:r>
        <w:rPr>
          <w:rFonts w:cs="Times New Roman" w:ascii="Times New Roman" w:hAnsi="Times New Roman"/>
        </w:rPr>
      </w:r>
    </w:p>
    <w:p>
      <w:pPr>
        <w:pStyle w:val="BodyText2"/>
        <w:spacing w:lineRule="auto" w:line="240"/>
        <w:ind w:start="5760" w:end="0"/>
        <w:rPr>
          <w:rFonts w:ascii="Times New Roman" w:hAnsi="Times New Roman" w:cs="Times New Roman"/>
        </w:rPr>
      </w:pPr>
      <w:r>
        <w:rPr>
          <w:rFonts w:cs="Times New Roman" w:ascii="Times New Roman" w:hAnsi="Times New Roman"/>
        </w:rPr>
        <w:t>______________________</w:t>
      </w:r>
    </w:p>
    <w:p>
      <w:pPr>
        <w:pStyle w:val="BodyText2"/>
        <w:spacing w:lineRule="auto" w:line="240"/>
        <w:ind w:firstLine="720" w:start="5040" w:end="0"/>
        <w:jc w:val="start"/>
        <w:rPr/>
      </w:pPr>
      <w:r>
        <w:rPr/>
        <w:t>Tim W. Muller</w:t>
      </w:r>
    </w:p>
    <w:p>
      <w:pPr>
        <w:sectPr>
          <w:headerReference w:type="default" r:id="rId2"/>
          <w:headerReference w:type="first" r:id="rId3"/>
          <w:footerReference w:type="default" r:id="rId4"/>
          <w:footerReference w:type="first" r:id="rId5"/>
          <w:footnotePr>
            <w:numFmt w:val="decimal"/>
            <w:numRestart w:val="eachSect"/>
          </w:footnotePr>
          <w:type w:val="nextPage"/>
          <w:pgSz w:w="12240" w:h="15840"/>
          <w:pgMar w:left="2160" w:right="1440" w:gutter="0" w:header="1440" w:top="1496" w:footer="1915" w:bottom="1971"/>
          <w:pgNumType w:fmt="decimal"/>
          <w:formProt w:val="false"/>
          <w:titlePg/>
          <w:textDirection w:val="lrTb"/>
          <w:docGrid w:type="default" w:linePitch="360" w:charSpace="0"/>
        </w:sectPr>
      </w:pPr>
    </w:p>
    <w:p>
      <w:pPr>
        <w:pStyle w:val="Normal"/>
        <w:widowControl/>
        <w:rPr>
          <w:rFonts w:ascii="Times New Roman" w:hAnsi="Times New Roman" w:cs="Times New Roman"/>
          <w:sz w:val="24"/>
        </w:rPr>
      </w:pPr>
      <w:r>
        <w:rPr>
          <w:rFonts w:cs="Times New Roman" w:ascii="Times New Roman" w:hAnsi="Times New Roman"/>
          <w:sz w:val="24"/>
        </w:rPr>
      </w:r>
    </w:p>
    <w:sectPr>
      <w:footnotePr>
        <w:numFmt w:val="decimal"/>
        <w:numRestart w:val="eachSect"/>
      </w:footnotePr>
      <w:type w:val="continuous"/>
      <w:pgSz w:w="12240" w:h="15840"/>
      <w:pgMar w:left="2160" w:right="1440" w:gutter="0" w:header="1440" w:top="1496" w:footer="1915" w:bottom="1971"/>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BodyText2"/>
        <w:spacing w:lineRule="auto" w:line="240"/>
        <w:rPr/>
      </w:pPr>
      <w:r>
        <w:rPr>
          <w:rStyle w:val="FootnoteCharacters"/>
        </w:rPr>
        <w:footnoteRef/>
      </w:r>
      <w:r>
        <w:rPr>
          <w:sz w:val="20"/>
        </w:rPr>
        <w:t xml:space="preserve"> </w:t>
      </w:r>
      <w:r>
        <w:rPr>
          <w:sz w:val="20"/>
          <w:u w:val="single"/>
        </w:rPr>
        <w:t>See</w:t>
      </w:r>
      <w:r>
        <w:rPr>
          <w:sz w:val="20"/>
        </w:rPr>
        <w:t xml:space="preserve"> </w:t>
      </w:r>
      <w:r>
        <w:rPr>
          <w:sz w:val="20"/>
          <w:u w:val="single"/>
        </w:rPr>
        <w:t>Transco Power Trading</w:t>
      </w:r>
      <w:r>
        <w:rPr>
          <w:sz w:val="20"/>
        </w:rPr>
        <w:t xml:space="preserve">, Docket No. ER95-305-000, Letter Order issued March 10, 1995 (accepting market-based rate schedule); </w:t>
      </w:r>
      <w:r>
        <w:rPr>
          <w:sz w:val="20"/>
          <w:u w:val="single"/>
        </w:rPr>
        <w:t>Williams Power Trading Company</w:t>
      </w:r>
      <w:r>
        <w:rPr>
          <w:sz w:val="20"/>
        </w:rPr>
        <w:t xml:space="preserve">, Docket No. ER95-305-001, Letter Order issued June 7, 1995 (accepting succession of Williams Power Trading Company); </w:t>
      </w:r>
      <w:r>
        <w:rPr>
          <w:sz w:val="20"/>
          <w:u w:val="single"/>
        </w:rPr>
        <w:t>Williams Energy Services Company</w:t>
      </w:r>
      <w:r>
        <w:rPr>
          <w:sz w:val="20"/>
        </w:rPr>
        <w:t>, Docket No. ER95-305-004, Letter Order issued January 19, 1996 (accepting succession of Williams Energy Service Company);</w:t>
      </w:r>
      <w:r>
        <w:rPr>
          <w:sz w:val="20"/>
          <w:u w:val="single"/>
        </w:rPr>
        <w:t>Williams Energy Marketing &amp; Trading Company</w:t>
      </w:r>
      <w:r>
        <w:rPr>
          <w:sz w:val="20"/>
        </w:rPr>
        <w:t xml:space="preserve">, Docket No. ER99-615-000, Letter Order dated December 23, 1998 (accepting amendment to market-based rate schedule to include California ancillary services); </w:t>
      </w:r>
      <w:r>
        <w:rPr>
          <w:sz w:val="20"/>
          <w:u w:val="single"/>
        </w:rPr>
        <w:t>Williams Energy Marketing &amp; Trading Company</w:t>
      </w:r>
      <w:r>
        <w:rPr>
          <w:sz w:val="20"/>
        </w:rPr>
        <w:t xml:space="preserve">, Docket No. ER99-1722-000, Letter Order issued March 4, 1999 (accepting succession of Williams Energy Marketing &amp; Trading Company); </w:t>
      </w:r>
      <w:r>
        <w:rPr>
          <w:sz w:val="20"/>
          <w:u w:val="single"/>
        </w:rPr>
        <w:t>Williams Energy Marketing &amp; Trading Company</w:t>
      </w:r>
      <w:r>
        <w:rPr>
          <w:sz w:val="20"/>
        </w:rPr>
        <w:t>, Docket No. ER00-885-000, Letter Order issued January 21, 2000 (accepting amendment to market-based rate schedule to include resales of California ISO FTRs and reassignment of transmission capacity).</w:t>
      </w:r>
    </w:p>
  </w:footnote>
  <w:footnote w:id="3">
    <w:p>
      <w:pPr>
        <w:pStyle w:val="FootnoteText"/>
        <w:rPr/>
      </w:pPr>
      <w:r>
        <w:rPr>
          <w:rStyle w:val="FootnoteCharacters"/>
        </w:rPr>
        <w:footnoteRef/>
      </w:r>
      <w:r>
        <w:rPr/>
        <w:t xml:space="preserve"> </w:t>
      </w:r>
      <w:r>
        <w:rPr>
          <w:u w:val="single"/>
        </w:rPr>
        <w:t>New York Independent System Operator, Inc.</w:t>
      </w:r>
      <w:r>
        <w:rPr/>
        <w:t xml:space="preserve">, 93 FERC ¶ 61,187 (2000). </w:t>
      </w:r>
    </w:p>
  </w:footnote>
  <w:footnote w:id="4">
    <w:p>
      <w:pPr>
        <w:pStyle w:val="FootnoteText"/>
        <w:jc w:val="both"/>
        <w:rPr/>
      </w:pPr>
      <w:r>
        <w:rPr>
          <w:rStyle w:val="FootnoteCharacters"/>
        </w:rPr>
        <w:footnoteRef/>
      </w:r>
      <w:r>
        <w:rPr/>
        <w:t xml:space="preserve"> </w:t>
      </w:r>
      <w:r>
        <w:rPr/>
        <w:t>It is therefore disingenuous for the NYISO to retain the word “temporary” in the TEP.  It would be much more honest, and accurate, for the NYISO to simply label the TEP for what it really is – an attempt to obtain permanent authority to employ the Extraordinary Procedures.</w:t>
      </w:r>
    </w:p>
  </w:footnote>
  <w:footnote w:id="5">
    <w:p>
      <w:pPr>
        <w:pStyle w:val="FootnoteText"/>
        <w:jc w:val="both"/>
        <w:rPr/>
      </w:pPr>
      <w:r>
        <w:rPr>
          <w:rStyle w:val="FootnoteCharacters"/>
        </w:rPr>
        <w:footnoteRef/>
      </w:r>
      <w:r>
        <w:rPr/>
        <w:t xml:space="preserve"> </w:t>
      </w:r>
      <w:r>
        <w:rPr/>
        <w:t xml:space="preserve">Chairman </w:t>
      </w:r>
      <w:r>
        <w:rPr>
          <w:rFonts w:cs="Times New Roman" w:ascii="Times New Roman" w:hAnsi="Times New Roman"/>
        </w:rPr>
        <w:t>Hébert is quite right, however, that the NYISO’s software justification for continuing TEP is a non-starter.  As Chairman Hébert states in his Dissent, infra, “[p]erhaps the ISO should order new applications, perhaps the ISO can fix what it owns; either way, the ISO should not fix prices after the fact and requisition electricity.”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tab/>
      <w:tab/>
      <w:tab/>
      <w:tab/>
      <w:tab/>
      <w:tab/>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numRestart w:val="eachSect"/>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Times New Roman" w:hAnsi="CG Times;Times New Roman" w:eastAsia="Times New Roman" w:cs="CG Times;Times New Roman"/>
      <w:color w:val="auto"/>
      <w:sz w:val="20"/>
      <w:szCs w:val="20"/>
      <w:lang w:val="en-US" w:eastAsia="en-US" w:bidi="hi-IN"/>
    </w:rPr>
  </w:style>
  <w:style w:type="paragraph" w:styleId="Heading1">
    <w:name w:val="heading 1"/>
    <w:basedOn w:val="Normal"/>
    <w:next w:val="Normal"/>
    <w:qFormat/>
    <w:pPr>
      <w:keepNext w:val="true"/>
      <w:widowControl/>
      <w:numPr>
        <w:ilvl w:val="0"/>
        <w:numId w:val="1"/>
      </w:numPr>
      <w:outlineLvl w:val="0"/>
    </w:pPr>
    <w:rPr>
      <w:sz w:val="24"/>
    </w:rPr>
  </w:style>
  <w:style w:type="paragraph" w:styleId="Heading2">
    <w:name w:val="heading 2"/>
    <w:basedOn w:val="Normal"/>
    <w:next w:val="Normal"/>
    <w:qFormat/>
    <w:pPr>
      <w:keepNext w:val="true"/>
      <w:widowControl/>
      <w:numPr>
        <w:ilvl w:val="1"/>
        <w:numId w:val="1"/>
      </w:numPr>
      <w:jc w:val="both"/>
      <w:outlineLvl w:val="1"/>
    </w:pPr>
    <w:rPr>
      <w:sz w:val="24"/>
    </w:rPr>
  </w:style>
  <w:style w:type="paragraph" w:styleId="Heading3">
    <w:name w:val="heading 3"/>
    <w:basedOn w:val="Normal"/>
    <w:next w:val="Normal"/>
    <w:qFormat/>
    <w:pPr>
      <w:keepNext w:val="true"/>
      <w:numPr>
        <w:ilvl w:val="2"/>
        <w:numId w:val="1"/>
      </w:numPr>
      <w:jc w:val="center"/>
      <w:outlineLvl w:val="2"/>
    </w:pPr>
    <w:rPr>
      <w:sz w:val="24"/>
    </w:rPr>
  </w:style>
  <w:style w:type="paragraph" w:styleId="Heading4">
    <w:name w:val="heading 4"/>
    <w:basedOn w:val="Normal"/>
    <w:next w:val="Normal"/>
    <w:qFormat/>
    <w:pPr>
      <w:keepNext w:val="true"/>
      <w:numPr>
        <w:ilvl w:val="3"/>
        <w:numId w:val="1"/>
      </w:numPr>
      <w:spacing w:lineRule="auto" w:line="480"/>
      <w:ind w:firstLine="720" w:start="0" w:end="0"/>
      <w:jc w:val="both"/>
      <w:outlineLvl w:val="3"/>
    </w:pPr>
    <w:rPr>
      <w:rFonts w:ascii="Times New Roman" w:hAnsi="Times New Roman" w:cs="Times New Roman"/>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u w:val="none"/>
    </w:rPr>
  </w:style>
  <w:style w:type="character" w:styleId="WW8Num8z0">
    <w:name w:val="WW8Num8z0"/>
    <w:qFormat/>
    <w:rPr/>
  </w:style>
  <w:style w:type="character" w:styleId="WW8Num9z0">
    <w:name w:val="WW8Num9z0"/>
    <w:qFormat/>
    <w:rPr/>
  </w:style>
  <w:style w:type="character" w:styleId="WW8Num10z0">
    <w:name w:val="WW8Num10z0"/>
    <w:qFormat/>
    <w:rPr>
      <w:rFonts w:ascii="CG Times;Times New Roman" w:hAnsi="CG Times;Times New Roman" w:cs="CG Times;Times New Roman"/>
      <w:b/>
      <w:i w:val="false"/>
    </w:rPr>
  </w:style>
  <w:style w:type="character" w:styleId="WW8Num11z0">
    <w:name w:val="WW8Num11z0"/>
    <w:qFormat/>
    <w:rPr/>
  </w:style>
  <w:style w:type="character" w:styleId="WW8Num12z0">
    <w:name w:val="WW8Num12z0"/>
    <w:qFormat/>
    <w:rPr>
      <w:b/>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character" w:styleId="PageNumber">
    <w:name w:val="page number"/>
    <w:basedOn w:val="DefaultParagraphFont"/>
    <w:rPr/>
  </w:style>
  <w:style w:type="character" w:styleId="footnoteref">
    <w:name w:val="footnote ref"/>
    <w:qFormat/>
    <w:rPr/>
  </w:style>
  <w:style w:type="character" w:styleId="DefaultPara">
    <w:name w:val="Default Para"/>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widowControl/>
      <w:jc w:val="center"/>
    </w:pPr>
    <w:rPr>
      <w:b/>
      <w:sz w:val="24"/>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0" w:leader="none"/>
        <w:tab w:val="center" w:pos="4320" w:leader="none"/>
        <w:tab w:val="right" w:pos="8640" w:leader="none"/>
      </w:tabs>
    </w:pPr>
    <w:rPr/>
  </w:style>
  <w:style w:type="paragraph" w:styleId="footnotetex">
    <w:name w:val="footnote tex"/>
    <w:qFormat/>
    <w:pPr>
      <w:widowControl w:val="false"/>
      <w:bidi w:val="0"/>
    </w:pPr>
    <w:rPr>
      <w:rFonts w:ascii="CG Times;Times New Roman" w:hAnsi="CG Times;Times New Roman" w:eastAsia="Times New Roman" w:cs="CG Times;Times New Roman"/>
      <w:color w:val="auto"/>
      <w:sz w:val="20"/>
      <w:szCs w:val="20"/>
      <w:lang w:val="en-US" w:eastAsia="en-US" w:bidi="hi-IN"/>
    </w:rPr>
  </w:style>
  <w:style w:type="paragraph" w:styleId="BodyText2">
    <w:name w:val="Body Text 2"/>
    <w:basedOn w:val="Normal"/>
    <w:qFormat/>
    <w:pPr>
      <w:widowControl/>
      <w:spacing w:lineRule="atLeast" w:line="480"/>
      <w:jc w:val="both"/>
    </w:pPr>
    <w:rPr>
      <w:sz w:val="24"/>
    </w:rPr>
  </w:style>
  <w:style w:type="paragraph" w:styleId="BodyTextIndent">
    <w:name w:val="Body Text Indent"/>
    <w:basedOn w:val="Normal"/>
    <w:pPr>
      <w:widowControl/>
      <w:tabs>
        <w:tab w:val="left" w:pos="720" w:leader="none"/>
      </w:tabs>
      <w:ind w:hanging="720" w:start="720" w:end="0"/>
      <w:jc w:val="both"/>
    </w:pPr>
    <w:rPr>
      <w:b/>
      <w:sz w:val="24"/>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widowControl/>
      <w:spacing w:lineRule="atLeast" w:line="480"/>
      <w:ind w:firstLine="720" w:start="0" w:end="0"/>
      <w:jc w:val="both"/>
    </w:pPr>
    <w:rPr>
      <w:sz w:val="24"/>
    </w:rPr>
  </w:style>
  <w:style w:type="paragraph" w:styleId="BodyText3">
    <w:name w:val="Body Text 3"/>
    <w:basedOn w:val="Normal"/>
    <w:qFormat/>
    <w:pPr>
      <w:widowControl/>
      <w:spacing w:lineRule="auto" w:line="480"/>
    </w:pPr>
    <w:rPr>
      <w:sz w:val="24"/>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style>
  <w:style w:type="paragraph" w:styleId="BlockText">
    <w:name w:val="Block Text"/>
    <w:basedOn w:val="Normal"/>
    <w:qFormat/>
    <w:pPr>
      <w:widowControl/>
      <w:ind w:hanging="0" w:start="720" w:end="720"/>
      <w:jc w:val="both"/>
    </w:pPr>
    <w:rPr>
      <w:sz w:val="24"/>
    </w:rPr>
  </w:style>
  <w:style w:type="paragraph" w:styleId="ListBullet2">
    <w:name w:val="List Bullet 2"/>
    <w:basedOn w:val="Normal"/>
    <w:pPr>
      <w:ind w:hanging="360" w:start="720" w:end="0"/>
    </w:pPr>
    <w:rPr/>
  </w:style>
  <w:style w:type="paragraph" w:styleId="Closing">
    <w:name w:val="Closing"/>
    <w:basedOn w:val="Normal"/>
    <w:qFormat/>
    <w:pPr>
      <w:ind w:hanging="0" w:start="4320" w:end="0"/>
    </w:pPr>
    <w:rPr/>
  </w:style>
  <w:style w:type="paragraph" w:styleId="BodyTextIndent3">
    <w:name w:val="Body Text Indent 3"/>
    <w:basedOn w:val="Normal"/>
    <w:qFormat/>
    <w:pPr>
      <w:widowControl/>
      <w:ind w:hanging="0" w:start="4320" w:end="0"/>
    </w:pPr>
    <w:rPr>
      <w:rFonts w:ascii="Times New Roman" w:hAnsi="Times New Roman" w:cs="Times New Roman"/>
      <w:b/>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2001-03-14T15:18:00Z</dcterms:created>
  <dc:creator>Lynn McConnell</dc:creator>
  <dc:description/>
  <dc:language>en-CA</dc:language>
  <cp:lastModifiedBy>Tim Muller</cp:lastModifiedBy>
  <cp:lastPrinted>2000-05-04T08:54:00Z</cp:lastPrinted>
  <dcterms:modified xsi:type="dcterms:W3CDTF">2001-03-21T14:48:00Z</dcterms:modified>
  <cp:revision>198</cp:revision>
  <dc:subject/>
  <dc:title>UNITED STATES OF AMERICA</dc:title>
</cp:coreProperties>
</file>