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tbl>
      <w:tblPr>
        <w:tblW w:w="14616" w:type="dxa"/>
        <w:jc w:val="start"/>
        <w:tblInd w:w="0" w:type="dxa"/>
        <w:tblLayout w:type="fixed"/>
        <w:tblCellMar>
          <w:top w:w="0" w:type="dxa"/>
          <w:start w:w="108" w:type="dxa"/>
          <w:bottom w:w="0" w:type="dxa"/>
          <w:end w:w="108" w:type="dxa"/>
        </w:tblCellMar>
      </w:tblPr>
      <w:tblGrid>
        <w:gridCol w:w="2268"/>
        <w:gridCol w:w="3240"/>
        <w:gridCol w:w="9108"/>
      </w:tblGrid>
      <w:tr>
        <w:trPr/>
        <w:tc>
          <w:tcPr>
            <w:tcW w:w="2268" w:type="dxa"/>
            <w:tcBorders>
              <w:top w:val="single" w:sz="4" w:space="0" w:color="000000"/>
              <w:start w:val="single" w:sz="4" w:space="0" w:color="000000"/>
              <w:bottom w:val="single" w:sz="6" w:space="0" w:color="000000"/>
              <w:end w:val="single" w:sz="6" w:space="0" w:color="000000"/>
            </w:tcBorders>
          </w:tcPr>
          <w:p>
            <w:pPr>
              <w:pStyle w:val="FootnoteText"/>
              <w:jc w:val="center"/>
              <w:rPr>
                <w:b/>
                <w:sz w:val="28"/>
              </w:rPr>
            </w:pPr>
            <w:r>
              <w:rPr>
                <w:b/>
                <w:sz w:val="28"/>
              </w:rPr>
              <w:t>Month</w:t>
            </w:r>
          </w:p>
        </w:tc>
        <w:tc>
          <w:tcPr>
            <w:tcW w:w="3240" w:type="dxa"/>
            <w:tcBorders>
              <w:top w:val="single" w:sz="4" w:space="0" w:color="000000"/>
              <w:start w:val="single" w:sz="6" w:space="0" w:color="000000"/>
              <w:bottom w:val="single" w:sz="6" w:space="0" w:color="000000"/>
              <w:end w:val="single" w:sz="6" w:space="0" w:color="000000"/>
            </w:tcBorders>
          </w:tcPr>
          <w:p>
            <w:pPr>
              <w:pStyle w:val="Normal"/>
              <w:jc w:val="center"/>
              <w:rPr>
                <w:sz w:val="28"/>
              </w:rPr>
            </w:pPr>
            <w:r>
              <w:rPr>
                <w:b/>
                <w:sz w:val="28"/>
              </w:rPr>
              <w:t>Days Involving Price Revisions</w:t>
            </w:r>
            <w:r>
              <w:rPr>
                <w:rStyle w:val="FootnoteCharacters"/>
                <w:rStyle w:val="FootnoteReference"/>
                <w:b/>
                <w:sz w:val="28"/>
              </w:rPr>
              <w:footnoteReference w:id="2"/>
            </w:r>
          </w:p>
        </w:tc>
        <w:tc>
          <w:tcPr>
            <w:tcW w:w="9108" w:type="dxa"/>
            <w:tcBorders>
              <w:top w:val="single" w:sz="4" w:space="0" w:color="000000"/>
              <w:start w:val="single" w:sz="6" w:space="0" w:color="000000"/>
              <w:bottom w:val="single" w:sz="6" w:space="0" w:color="000000"/>
              <w:end w:val="single" w:sz="4" w:space="0" w:color="000000"/>
            </w:tcBorders>
          </w:tcPr>
          <w:p>
            <w:pPr>
              <w:pStyle w:val="Heading2"/>
              <w:ind w:hanging="0" w:start="0"/>
              <w:rPr>
                <w:sz w:val="28"/>
              </w:rPr>
            </w:pPr>
            <w:r>
              <w:rPr>
                <w:sz w:val="28"/>
              </w:rPr>
              <w:t>Comments</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January</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31</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All days in the month of January appear to have retroactive price changes.  These changes were retroactively modified on 12/29/2000</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February</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29</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All days in the month of February appear to have retroactive price changes.  These changes were retroactively modified on 12/29/2000</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March</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31</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Twenty-seven (27) days had prices modified more than 9 months after the transaction date.  The prices for four (4) days were modified approximately 45 days after the transaction date.</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April</w:t>
            </w:r>
          </w:p>
          <w:p>
            <w:pPr>
              <w:pStyle w:val="Normal"/>
              <w:jc w:val="center"/>
              <w:rPr>
                <w:sz w:val="18"/>
              </w:rPr>
            </w:pPr>
            <w:r>
              <w:rPr>
                <w:sz w:val="18"/>
              </w:rPr>
            </w:r>
          </w:p>
          <w:p>
            <w:pPr>
              <w:pStyle w:val="Normal"/>
              <w:jc w:val="center"/>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Sixteen (16) days had prices retroactively modified more than 8 months after the transaction date.  The prices for four (4) days were retroactively modified approximately 45 days after the transaction date.  Ten (10) days had prices retroactively modified approximately 30 days after the transaction date.</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May</w:t>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31</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Of the thirty-one (31) days that experienced retroactive price changes, five (5) days had changes that are acceptable as the retroactive price modification occurred the next day.  However, twenty-four (24) days resulted in prices being retroactively modified approximately seven (7) months after the transaction date and two (2) days in May had prices retroactively modified approximately five (5) to seven (7) days after the transaction date.</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June</w:t>
            </w:r>
          </w:p>
          <w:p>
            <w:pPr>
              <w:pStyle w:val="Normal"/>
              <w:jc w:val="center"/>
              <w:rPr>
                <w:sz w:val="18"/>
              </w:rPr>
            </w:pPr>
            <w:r>
              <w:rPr>
                <w:sz w:val="18"/>
              </w:rPr>
            </w:r>
          </w:p>
          <w:p>
            <w:pPr>
              <w:pStyle w:val="Normal"/>
              <w:jc w:val="center"/>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Of the thirty (30) days that experienced retroactive price changes, seven (7) of the days are acceptable as the retroactive price modification occurred the next day.  However, twenty (20) days experienced retroactive price modification approximately six (6) months after the transaction date and three (3) days experienced retroactive modification approximately four (4) to five (5) days after the transaction date.</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July</w:t>
            </w:r>
          </w:p>
          <w:p>
            <w:pPr>
              <w:pStyle w:val="Normal"/>
              <w:jc w:val="center"/>
              <w:rPr>
                <w:sz w:val="18"/>
              </w:rPr>
            </w:pPr>
            <w:r>
              <w:rPr>
                <w:sz w:val="18"/>
              </w:rPr>
            </w:r>
          </w:p>
          <w:p>
            <w:pPr>
              <w:pStyle w:val="Normal"/>
              <w:jc w:val="center"/>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31</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Of the thirty-one (31) days experiencing retroactive price changes, ten (10) days are acceptable as the retroactive price modification occurred the next day.  However, sixteen (16) days experienced retroactive price modification approximately five (5) months after the transaction date and five (5) days experienced retroactive modification approximately three (3) to six (6) days after the transaction date.</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August</w:t>
            </w:r>
          </w:p>
          <w:p>
            <w:pPr>
              <w:pStyle w:val="Normal"/>
              <w:jc w:val="center"/>
              <w:rPr>
                <w:sz w:val="18"/>
              </w:rPr>
            </w:pPr>
            <w:r>
              <w:rPr>
                <w:sz w:val="18"/>
              </w:rPr>
            </w:r>
          </w:p>
          <w:p>
            <w:pPr>
              <w:pStyle w:val="Normal"/>
              <w:jc w:val="center"/>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31</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Of the thirty-one (31) days experiencing retroactive price changes, six (6) are acceptable as the retroactive price modification occurred the next day.  However, nineteen (19) days experienced retroactive modification approximately four (4) months after the transaction date and six (6) days were retroactively modified approximately three (3) to six (6) days after the transaction date.</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snapToGrid w:val="false"/>
              <w:jc w:val="center"/>
              <w:rPr>
                <w:sz w:val="18"/>
              </w:rPr>
            </w:pPr>
            <w:r>
              <w:rPr>
                <w:sz w:val="18"/>
              </w:rPr>
            </w:r>
          </w:p>
          <w:p>
            <w:pPr>
              <w:pStyle w:val="Normal"/>
              <w:jc w:val="center"/>
              <w:rPr>
                <w:sz w:val="18"/>
              </w:rPr>
            </w:pPr>
            <w:r>
              <w:rPr>
                <w:sz w:val="18"/>
              </w:rPr>
              <w:t>September</w:t>
            </w:r>
          </w:p>
          <w:p>
            <w:pPr>
              <w:pStyle w:val="Normal"/>
              <w:jc w:val="center"/>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Of the thirty (30) days experiencing retroactive price changes, eleven (11) are acceptable as the retroactive price modification occurred the next day.  However, sixteen (16) days were retroactively modified approximately three (3) months after the transaction date and three (3) days were modified four (4) days after the transaction date.</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October</w:t>
            </w:r>
          </w:p>
          <w:p>
            <w:pPr>
              <w:pStyle w:val="Normal"/>
              <w:jc w:val="center"/>
              <w:rPr>
                <w:sz w:val="18"/>
              </w:rPr>
            </w:pPr>
            <w:r>
              <w:rPr>
                <w:sz w:val="18"/>
              </w:rPr>
            </w:r>
          </w:p>
          <w:p>
            <w:pPr>
              <w:pStyle w:val="Normal"/>
              <w:jc w:val="center"/>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31</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Of the thirty-one (31) days experiencing retroactive price changes, three (3) are acceptable as the retroactive price modification occurred the next day.  However, twenty (20) days experienced retroactive modification approximately two (2) months after the transaction date and seven (7) days were retroactively modified approximately four (4) to seven (7) days after the transaction date.</w:t>
            </w:r>
          </w:p>
        </w:tc>
      </w:tr>
      <w:tr>
        <w:trPr/>
        <w:tc>
          <w:tcPr>
            <w:tcW w:w="2268" w:type="dxa"/>
            <w:tcBorders>
              <w:top w:val="single" w:sz="6" w:space="0" w:color="000000"/>
              <w:start w:val="single" w:sz="4" w:space="0" w:color="000000"/>
              <w:bottom w:val="single" w:sz="6" w:space="0" w:color="000000"/>
              <w:end w:val="single" w:sz="6" w:space="0" w:color="000000"/>
            </w:tcBorders>
          </w:tcPr>
          <w:p>
            <w:pPr>
              <w:pStyle w:val="Normal"/>
              <w:jc w:val="center"/>
              <w:rPr>
                <w:sz w:val="18"/>
              </w:rPr>
            </w:pPr>
            <w:r>
              <w:rPr>
                <w:sz w:val="18"/>
              </w:rPr>
              <w:t>November</w:t>
            </w:r>
          </w:p>
          <w:p>
            <w:pPr>
              <w:pStyle w:val="Normal"/>
              <w:jc w:val="center"/>
              <w:rPr>
                <w:sz w:val="18"/>
              </w:rPr>
            </w:pPr>
            <w:r>
              <w:rPr>
                <w:sz w:val="18"/>
              </w:rPr>
            </w:r>
          </w:p>
          <w:p>
            <w:pPr>
              <w:pStyle w:val="Normal"/>
              <w:jc w:val="center"/>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w:t>
            </w:r>
          </w:p>
        </w:tc>
        <w:tc>
          <w:tcPr>
            <w:tcW w:w="9108" w:type="dxa"/>
            <w:tcBorders>
              <w:top w:val="single" w:sz="6" w:space="0" w:color="000000"/>
              <w:start w:val="single" w:sz="6" w:space="0" w:color="000000"/>
              <w:bottom w:val="single" w:sz="6" w:space="0" w:color="000000"/>
              <w:end w:val="single" w:sz="4" w:space="0" w:color="000000"/>
            </w:tcBorders>
          </w:tcPr>
          <w:p>
            <w:pPr>
              <w:pStyle w:val="Normal"/>
              <w:rPr>
                <w:sz w:val="18"/>
              </w:rPr>
            </w:pPr>
            <w:r>
              <w:rPr>
                <w:sz w:val="18"/>
              </w:rPr>
              <w:t>Of the thirty (30) days experiencing retroactive price changes, one (1) was retroactively changed in 2001 and four (4) were retroactively changed more than 45 days later.  Of the remaining twenty-five (25) days experiencing retroactive price changes, on average they were changed five (5) days after the transaction date.</w:t>
            </w:r>
          </w:p>
        </w:tc>
      </w:tr>
      <w:tr>
        <w:trPr/>
        <w:tc>
          <w:tcPr>
            <w:tcW w:w="2268" w:type="dxa"/>
            <w:tcBorders>
              <w:top w:val="single" w:sz="6" w:space="0" w:color="000000"/>
              <w:start w:val="single" w:sz="4" w:space="0" w:color="000000"/>
              <w:bottom w:val="single" w:sz="4" w:space="0" w:color="000000"/>
              <w:end w:val="single" w:sz="6" w:space="0" w:color="000000"/>
            </w:tcBorders>
          </w:tcPr>
          <w:p>
            <w:pPr>
              <w:pStyle w:val="Normal"/>
              <w:jc w:val="center"/>
              <w:rPr>
                <w:sz w:val="18"/>
              </w:rPr>
            </w:pPr>
            <w:r>
              <w:rPr>
                <w:sz w:val="18"/>
              </w:rPr>
              <w:t>December</w:t>
            </w:r>
          </w:p>
          <w:p>
            <w:pPr>
              <w:pStyle w:val="Normal"/>
              <w:jc w:val="center"/>
              <w:rPr>
                <w:sz w:val="18"/>
              </w:rPr>
            </w:pPr>
            <w:r>
              <w:rPr>
                <w:sz w:val="18"/>
              </w:rPr>
            </w:r>
          </w:p>
        </w:tc>
        <w:tc>
          <w:tcPr>
            <w:tcW w:w="3240" w:type="dxa"/>
            <w:tcBorders>
              <w:top w:val="single" w:sz="6" w:space="0" w:color="000000"/>
              <w:start w:val="single" w:sz="6" w:space="0" w:color="000000"/>
              <w:bottom w:val="single" w:sz="4" w:space="0" w:color="000000"/>
              <w:end w:val="single" w:sz="6" w:space="0" w:color="000000"/>
            </w:tcBorders>
          </w:tcPr>
          <w:p>
            <w:pPr>
              <w:pStyle w:val="Normal"/>
              <w:jc w:val="center"/>
              <w:rPr>
                <w:sz w:val="18"/>
              </w:rPr>
            </w:pPr>
            <w:r>
              <w:rPr>
                <w:sz w:val="18"/>
              </w:rPr>
              <w:t>31</w:t>
            </w:r>
          </w:p>
        </w:tc>
        <w:tc>
          <w:tcPr>
            <w:tcW w:w="9108" w:type="dxa"/>
            <w:tcBorders>
              <w:top w:val="single" w:sz="6" w:space="0" w:color="000000"/>
              <w:start w:val="single" w:sz="6" w:space="0" w:color="000000"/>
              <w:bottom w:val="single" w:sz="4" w:space="0" w:color="000000"/>
              <w:end w:val="single" w:sz="4" w:space="0" w:color="000000"/>
            </w:tcBorders>
          </w:tcPr>
          <w:p>
            <w:pPr>
              <w:pStyle w:val="Normal"/>
              <w:rPr>
                <w:sz w:val="18"/>
              </w:rPr>
            </w:pPr>
            <w:r>
              <w:rPr>
                <w:sz w:val="18"/>
              </w:rPr>
              <w:t>Of the thirty-one (31) days experiencing retroactive price changes, on average the pricing was changed six (6) days after the transaction date.</w:t>
            </w:r>
          </w:p>
        </w:tc>
      </w:tr>
    </w:tbl>
    <w:p>
      <w:pPr>
        <w:pStyle w:val="FootnoteText"/>
        <w:rPr>
          <w:sz w:val="18"/>
        </w:rPr>
      </w:pPr>
      <w:r>
        <w:rPr>
          <w:sz w:val="18"/>
        </w:rPr>
      </w:r>
    </w:p>
    <w:sectPr>
      <w:headerReference w:type="default" r:id="rId2"/>
      <w:footnotePr>
        <w:numFmt w:val="decimal"/>
      </w:footnotePr>
      <w:type w:val="nextPage"/>
      <w:pgSz w:orient="landscape" w:w="15840" w:h="12240"/>
      <w:pgMar w:left="720" w:right="720" w:gutter="0" w:header="720" w:top="776"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The retroactive price changes featured on NYISO’s OASIS web page do not describe how many prices were changed during each day, and for which hours and zones, nor does the NYISO provide any information regarding the original price and the newly revised price.  See http://mis.nyiso.com/public/P-4Alist.htm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NYISO Retroactive Price Changes</w:t>
    </w:r>
  </w:p>
  <w:p>
    <w:pPr>
      <w:pStyle w:val="Header"/>
      <w:jc w:val="center"/>
      <w:rPr>
        <w:b/>
        <w:sz w:val="28"/>
      </w:rPr>
    </w:pPr>
    <w:r>
      <w:rPr>
        <w:b/>
        <w:sz w:val="28"/>
      </w:rPr>
      <w:t>January 1, 2000 – December 31,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2001-03-20T17:58:00Z</dcterms:created>
  <dc:creator>Katherine Erlandsen</dc:creator>
  <dc:description/>
  <dc:language>en-CA</dc:language>
  <cp:lastModifiedBy>MS Grim</cp:lastModifiedBy>
  <cp:lastPrinted>2001-03-21T12:31:00Z</cp:lastPrinted>
  <dcterms:modified xsi:type="dcterms:W3CDTF">2001-03-21T16:20:00Z</dcterms:modified>
  <cp:revision>7</cp:revision>
  <dc:subject/>
  <dc:title>Month</dc:title>
</cp:coreProperties>
</file>