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both"/>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tbl>
      <w:tblPr>
        <w:tblW w:w="10808" w:type="dxa"/>
        <w:jc w:val="start"/>
        <w:tblInd w:w="200" w:type="dxa"/>
        <w:tblLayout w:type="fixed"/>
        <w:tblCellMar>
          <w:top w:w="0" w:type="dxa"/>
          <w:start w:w="108" w:type="dxa"/>
          <w:bottom w:w="0" w:type="dxa"/>
          <w:end w:w="108" w:type="dxa"/>
        </w:tblCellMar>
      </w:tblPr>
      <w:tblGrid>
        <w:gridCol w:w="808"/>
        <w:gridCol w:w="6045"/>
        <w:gridCol w:w="990"/>
        <w:gridCol w:w="2965"/>
      </w:tblGrid>
      <w:tr>
        <w:trPr>
          <w:trHeight w:val="300" w:hRule="exact"/>
        </w:trPr>
        <w:tc>
          <w:tcPr>
            <w:tcW w:w="808" w:type="dxa"/>
            <w:tcBorders/>
          </w:tcPr>
          <w:p>
            <w:pPr>
              <w:pStyle w:val="Normal"/>
              <w:spacing w:before="120" w:after="0"/>
              <w:ind w:start="-48" w:end="0"/>
              <w:jc w:val="both"/>
              <w:rPr>
                <w:sz w:val="16"/>
              </w:rPr>
            </w:pPr>
            <w:r>
              <w:rPr>
                <w:sz w:val="16"/>
              </w:rPr>
              <w:t>To:</w:t>
            </w:r>
          </w:p>
        </w:tc>
        <w:tc>
          <w:tcPr>
            <w:tcW w:w="6045" w:type="dxa"/>
            <w:tcBorders/>
          </w:tcPr>
          <w:p>
            <w:pPr>
              <w:pStyle w:val="To"/>
              <w:spacing w:before="120" w:after="0"/>
              <w:jc w:val="both"/>
              <w:rPr/>
            </w:pPr>
            <w:r>
              <w:rPr/>
              <w:t>Distribution</w:t>
            </w:r>
          </w:p>
        </w:tc>
        <w:tc>
          <w:tcPr>
            <w:tcW w:w="990" w:type="dxa"/>
            <w:tcBorders/>
          </w:tcPr>
          <w:p>
            <w:pPr>
              <w:pStyle w:val="Normal"/>
              <w:snapToGrid w:val="false"/>
              <w:spacing w:before="120" w:after="0"/>
              <w:ind w:start="-46" w:end="0"/>
              <w:jc w:val="both"/>
              <w:rPr/>
            </w:pPr>
            <w:r>
              <w:rPr/>
            </w:r>
          </w:p>
        </w:tc>
        <w:tc>
          <w:tcPr>
            <w:tcW w:w="2965" w:type="dxa"/>
            <w:tcBorders/>
          </w:tcPr>
          <w:p>
            <w:pPr>
              <w:pStyle w:val="Normal"/>
              <w:snapToGrid w:val="false"/>
              <w:spacing w:before="120" w:after="0"/>
              <w:jc w:val="both"/>
              <w:rPr/>
            </w:pPr>
            <w:r>
              <w:rPr/>
            </w:r>
          </w:p>
        </w:tc>
      </w:tr>
      <w:tr>
        <w:trPr>
          <w:trHeight w:val="216" w:hRule="exact"/>
        </w:trPr>
        <w:tc>
          <w:tcPr>
            <w:tcW w:w="808" w:type="dxa"/>
            <w:tcBorders/>
          </w:tcPr>
          <w:p>
            <w:pPr>
              <w:pStyle w:val="Normal"/>
              <w:snapToGrid w:val="false"/>
              <w:ind w:start="-48" w:end="0"/>
              <w:jc w:val="both"/>
              <w:rPr>
                <w:sz w:val="18"/>
              </w:rPr>
            </w:pPr>
            <w:r>
              <w:rPr>
                <w:sz w:val="18"/>
              </w:rPr>
            </w:r>
          </w:p>
        </w:tc>
        <w:tc>
          <w:tcPr>
            <w:tcW w:w="6045" w:type="dxa"/>
            <w:tcBorders/>
          </w:tcPr>
          <w:p>
            <w:pPr>
              <w:pStyle w:val="Normal"/>
              <w:snapToGrid w:val="false"/>
              <w:jc w:val="both"/>
              <w:rPr>
                <w:sz w:val="18"/>
              </w:rPr>
            </w:pPr>
            <w:r>
              <w:rPr>
                <w:sz w:val="18"/>
              </w:rPr>
            </w:r>
          </w:p>
        </w:tc>
        <w:tc>
          <w:tcPr>
            <w:tcW w:w="990" w:type="dxa"/>
            <w:tcBorders/>
          </w:tcPr>
          <w:p>
            <w:pPr>
              <w:pStyle w:val="Normal"/>
              <w:snapToGrid w:val="false"/>
              <w:ind w:start="-46" w:end="0"/>
              <w:jc w:val="both"/>
              <w:rPr>
                <w:sz w:val="18"/>
              </w:rPr>
            </w:pPr>
            <w:r>
              <w:rPr>
                <w:sz w:val="18"/>
              </w:rPr>
            </w:r>
          </w:p>
        </w:tc>
        <w:tc>
          <w:tcPr>
            <w:tcW w:w="2965" w:type="dxa"/>
            <w:tcBorders/>
          </w:tcPr>
          <w:p>
            <w:pPr>
              <w:pStyle w:val="Normal"/>
              <w:snapToGrid w:val="false"/>
              <w:jc w:val="both"/>
              <w:rPr>
                <w:sz w:val="18"/>
              </w:rPr>
            </w:pPr>
            <w:r>
              <w:rPr>
                <w:sz w:val="18"/>
              </w:rPr>
            </w:r>
          </w:p>
        </w:tc>
      </w:tr>
      <w:tr>
        <w:trPr>
          <w:trHeight w:val="300" w:hRule="exact"/>
        </w:trPr>
        <w:tc>
          <w:tcPr>
            <w:tcW w:w="808" w:type="dxa"/>
            <w:tcBorders/>
          </w:tcPr>
          <w:p>
            <w:pPr>
              <w:pStyle w:val="Normal"/>
              <w:ind w:start="-48" w:end="0"/>
              <w:jc w:val="both"/>
              <w:rPr>
                <w:sz w:val="16"/>
              </w:rPr>
            </w:pPr>
            <w:r>
              <w:rPr>
                <w:sz w:val="16"/>
              </w:rPr>
              <w:t>From:</w:t>
            </w:r>
          </w:p>
        </w:tc>
        <w:tc>
          <w:tcPr>
            <w:tcW w:w="6045" w:type="dxa"/>
            <w:tcBorders/>
          </w:tcPr>
          <w:p>
            <w:pPr>
              <w:pStyle w:val="From"/>
              <w:jc w:val="both"/>
              <w:rPr/>
            </w:pPr>
            <w:r>
              <w:rPr/>
              <w:t>Christi Nicolay and Elizabeth Sager</w:t>
            </w:r>
          </w:p>
        </w:tc>
        <w:tc>
          <w:tcPr>
            <w:tcW w:w="990" w:type="dxa"/>
            <w:tcBorders/>
          </w:tcPr>
          <w:p>
            <w:pPr>
              <w:pStyle w:val="Normal"/>
              <w:ind w:start="-46" w:end="0"/>
              <w:jc w:val="both"/>
              <w:rPr>
                <w:sz w:val="16"/>
              </w:rPr>
            </w:pPr>
            <w:r>
              <w:rPr>
                <w:sz w:val="16"/>
              </w:rPr>
              <w:t>Department:</w:t>
            </w:r>
          </w:p>
        </w:tc>
        <w:tc>
          <w:tcPr>
            <w:tcW w:w="2965" w:type="dxa"/>
            <w:tcBorders/>
          </w:tcPr>
          <w:p>
            <w:pPr>
              <w:pStyle w:val="Department"/>
              <w:jc w:val="both"/>
              <w:rPr/>
            </w:pPr>
            <w:bookmarkStart w:id="0" w:name="From"/>
            <w:bookmarkEnd w:id="0"/>
            <w:r>
              <w:rPr/>
              <w:t>Regulatory and Legal</w:t>
            </w:r>
          </w:p>
        </w:tc>
      </w:tr>
      <w:tr>
        <w:trPr>
          <w:trHeight w:val="216" w:hRule="exact"/>
        </w:trPr>
        <w:tc>
          <w:tcPr>
            <w:tcW w:w="808" w:type="dxa"/>
            <w:tcBorders/>
          </w:tcPr>
          <w:p>
            <w:pPr>
              <w:pStyle w:val="Normal"/>
              <w:snapToGrid w:val="false"/>
              <w:ind w:start="-48" w:end="0"/>
              <w:jc w:val="both"/>
              <w:rPr>
                <w:sz w:val="18"/>
              </w:rPr>
            </w:pPr>
            <w:r>
              <w:rPr>
                <w:sz w:val="18"/>
              </w:rPr>
            </w:r>
          </w:p>
        </w:tc>
        <w:tc>
          <w:tcPr>
            <w:tcW w:w="6045" w:type="dxa"/>
            <w:tcBorders/>
          </w:tcPr>
          <w:p>
            <w:pPr>
              <w:pStyle w:val="Normal"/>
              <w:snapToGrid w:val="false"/>
              <w:jc w:val="both"/>
              <w:rPr>
                <w:sz w:val="18"/>
              </w:rPr>
            </w:pPr>
            <w:r>
              <w:rPr>
                <w:sz w:val="18"/>
              </w:rPr>
            </w:r>
          </w:p>
        </w:tc>
        <w:tc>
          <w:tcPr>
            <w:tcW w:w="990" w:type="dxa"/>
            <w:tcBorders/>
          </w:tcPr>
          <w:p>
            <w:pPr>
              <w:pStyle w:val="Normal"/>
              <w:snapToGrid w:val="false"/>
              <w:ind w:start="-46" w:end="0"/>
              <w:jc w:val="both"/>
              <w:rPr>
                <w:sz w:val="18"/>
              </w:rPr>
            </w:pPr>
            <w:r>
              <w:rPr>
                <w:sz w:val="18"/>
              </w:rPr>
            </w:r>
          </w:p>
        </w:tc>
        <w:tc>
          <w:tcPr>
            <w:tcW w:w="2965" w:type="dxa"/>
            <w:tcBorders/>
          </w:tcPr>
          <w:p>
            <w:pPr>
              <w:pStyle w:val="Normal"/>
              <w:snapToGrid w:val="false"/>
              <w:jc w:val="both"/>
              <w:rPr>
                <w:sz w:val="18"/>
              </w:rPr>
            </w:pPr>
            <w:r>
              <w:rPr>
                <w:sz w:val="18"/>
              </w:rPr>
            </w:r>
          </w:p>
        </w:tc>
      </w:tr>
      <w:tr>
        <w:trPr>
          <w:trHeight w:val="600" w:hRule="exact"/>
        </w:trPr>
        <w:tc>
          <w:tcPr>
            <w:tcW w:w="808" w:type="dxa"/>
            <w:tcBorders>
              <w:bottom w:val="single" w:sz="12" w:space="0" w:color="000000"/>
            </w:tcBorders>
          </w:tcPr>
          <w:p>
            <w:pPr>
              <w:pStyle w:val="Normal"/>
              <w:ind w:start="-48" w:end="0"/>
              <w:jc w:val="both"/>
              <w:rPr>
                <w:sz w:val="16"/>
              </w:rPr>
            </w:pPr>
            <w:r>
              <w:rPr>
                <w:sz w:val="16"/>
              </w:rPr>
              <w:t>Subject:</w:t>
            </w:r>
          </w:p>
        </w:tc>
        <w:tc>
          <w:tcPr>
            <w:tcW w:w="6045" w:type="dxa"/>
            <w:tcBorders>
              <w:bottom w:val="single" w:sz="12" w:space="0" w:color="000000"/>
            </w:tcBorders>
          </w:tcPr>
          <w:p>
            <w:pPr>
              <w:pStyle w:val="Subject"/>
              <w:jc w:val="both"/>
              <w:rPr/>
            </w:pPr>
            <w:r>
              <w:rPr/>
              <w:t>Filing of Long Term Power Sales Contracts at FERC</w:t>
            </w:r>
          </w:p>
        </w:tc>
        <w:tc>
          <w:tcPr>
            <w:tcW w:w="990" w:type="dxa"/>
            <w:tcBorders>
              <w:bottom w:val="single" w:sz="12" w:space="0" w:color="000000"/>
            </w:tcBorders>
          </w:tcPr>
          <w:p>
            <w:pPr>
              <w:pStyle w:val="Normal"/>
              <w:ind w:start="-46" w:end="0"/>
              <w:jc w:val="both"/>
              <w:rPr>
                <w:sz w:val="16"/>
              </w:rPr>
            </w:pPr>
            <w:r>
              <w:rPr>
                <w:sz w:val="16"/>
              </w:rPr>
              <w:t>Date:</w:t>
            </w:r>
          </w:p>
        </w:tc>
        <w:tc>
          <w:tcPr>
            <w:tcW w:w="2965" w:type="dxa"/>
            <w:tcBorders>
              <w:bottom w:val="single" w:sz="12" w:space="0" w:color="000000"/>
            </w:tcBorders>
          </w:tcPr>
          <w:p>
            <w:pPr>
              <w:pStyle w:val="Date"/>
              <w:jc w:val="both"/>
              <w:rPr/>
            </w:pPr>
            <w:r>
              <w:rPr/>
              <w:fldChar w:fldCharType="begin"/>
            </w:r>
            <w:r>
              <w:rPr/>
              <w:instrText xml:space="preserve"> DATE \@"MMMM\ d', 'yyyy" </w:instrText>
            </w:r>
            <w:r>
              <w:rPr/>
              <w:fldChar w:fldCharType="separate"/>
            </w:r>
            <w:r>
              <w:rPr/>
              <w:t>September 28, 2025</w:t>
            </w:r>
            <w:r>
              <w:rPr/>
              <w:fldChar w:fldCharType="end"/>
            </w:r>
          </w:p>
        </w:tc>
      </w:tr>
    </w:tbl>
    <w:p>
      <w:pPr>
        <w:pStyle w:val="Body"/>
        <w:spacing w:before="120" w:after="0"/>
        <w:jc w:val="both"/>
        <w:rPr/>
      </w:pPr>
      <w:bookmarkStart w:id="1" w:name="StartOfMemo"/>
      <w:bookmarkEnd w:id="1"/>
      <w:r>
        <w:rPr/>
        <w:t xml:space="preserve">On May 27, 1999, FERC issued an order requiring power marketers to file long term (&gt; 1 year term) power sales contracts with FERC on a non-confidential basis (order requires filing on a prospective basis after issuance of a final order – a few months from now, at least).  Traditional utilities are already required to file long-term power sales contracts.  </w:t>
      </w:r>
      <w:r>
        <w:rPr>
          <w:b/>
        </w:rPr>
        <w:t>EPMI is filing a request for rehearing on June 26</w:t>
      </w:r>
      <w:r>
        <w:rPr/>
        <w:t xml:space="preserve">.  We must provide arguments on the irreparable harm that this filing requirement will cause to the competitive power market, in general. Specific examples, rather than generalizations, would be the most beneficial.  Several other companies are arguing the following.  </w:t>
      </w:r>
      <w:r>
        <w:rPr>
          <w:b/>
        </w:rPr>
        <w:t>Please give us additional comments to use. (Christi 37007 or Elizabeth 36349)</w:t>
      </w:r>
    </w:p>
    <w:p>
      <w:pPr>
        <w:pStyle w:val="Body"/>
        <w:spacing w:before="120" w:after="0"/>
        <w:jc w:val="both"/>
        <w:rPr/>
      </w:pPr>
      <w:r>
        <w:rPr>
          <w:u w:val="single"/>
        </w:rPr>
        <w:t>Williams comments re: its contract with the AES plants in California</w:t>
      </w:r>
      <w:r>
        <w:rPr/>
        <w:t>:</w:t>
      </w:r>
    </w:p>
    <w:p>
      <w:pPr>
        <w:pStyle w:val="Body"/>
        <w:numPr>
          <w:ilvl w:val="0"/>
          <w:numId w:val="2"/>
        </w:numPr>
        <w:spacing w:before="120" w:after="0"/>
        <w:jc w:val="both"/>
        <w:rPr/>
      </w:pPr>
      <w:r>
        <w:rPr/>
        <w:t>Tolling agreement is unique because it divides between two sophisticated, unaffiliated companies the (i) operational and (ii) purchasing and marketing functions that have been historically performed within the same company (and thus not filed, nor documented in a separate document)</w:t>
      </w:r>
    </w:p>
    <w:p>
      <w:pPr>
        <w:pStyle w:val="Body"/>
        <w:numPr>
          <w:ilvl w:val="0"/>
          <w:numId w:val="2"/>
        </w:numPr>
        <w:spacing w:before="120" w:after="0"/>
        <w:jc w:val="both"/>
        <w:rPr/>
      </w:pPr>
      <w:r>
        <w:rPr/>
        <w:t>Competitors will have information concerning Williams’ cost structures and performance obligations, but Williams will have no comparable information from them</w:t>
      </w:r>
    </w:p>
    <w:p>
      <w:pPr>
        <w:pStyle w:val="Body"/>
        <w:numPr>
          <w:ilvl w:val="0"/>
          <w:numId w:val="2"/>
        </w:numPr>
        <w:spacing w:before="120" w:after="0"/>
        <w:jc w:val="both"/>
        <w:rPr/>
      </w:pPr>
      <w:r>
        <w:rPr/>
        <w:t>Competitors can see the risk allocation and know when Williams is required to cover its position in the market</w:t>
      </w:r>
    </w:p>
    <w:p>
      <w:pPr>
        <w:pStyle w:val="Body"/>
        <w:numPr>
          <w:ilvl w:val="0"/>
          <w:numId w:val="2"/>
        </w:numPr>
        <w:spacing w:before="120" w:after="0"/>
        <w:jc w:val="both"/>
        <w:rPr/>
      </w:pPr>
      <w:r>
        <w:rPr/>
        <w:t>Competitors can see the structure and compete head to head on non-price and price issues</w:t>
      </w:r>
    </w:p>
    <w:p>
      <w:pPr>
        <w:pStyle w:val="Body"/>
        <w:numPr>
          <w:ilvl w:val="0"/>
          <w:numId w:val="2"/>
        </w:numPr>
        <w:spacing w:before="120" w:after="0"/>
        <w:jc w:val="both"/>
        <w:rPr/>
      </w:pPr>
      <w:r>
        <w:rPr/>
        <w:t>The intricate and complex agreement exposes Williams’ commodity positions in gas and electric markets in California</w:t>
      </w:r>
    </w:p>
    <w:p>
      <w:pPr>
        <w:pStyle w:val="Body"/>
        <w:numPr>
          <w:ilvl w:val="0"/>
          <w:numId w:val="2"/>
        </w:numPr>
        <w:spacing w:before="120" w:after="0"/>
        <w:jc w:val="both"/>
        <w:rPr/>
      </w:pPr>
      <w:r>
        <w:rPr/>
        <w:t>Quarterly reports currently do not require critical cost/pricing relationships, the term of the agreement, details of the parties’ performance obligations and risk allocations, and identities of certain third party vendors and consultants</w:t>
      </w:r>
    </w:p>
    <w:p>
      <w:pPr>
        <w:pStyle w:val="Department"/>
        <w:spacing w:before="120" w:after="0"/>
        <w:jc w:val="both"/>
        <w:rPr/>
      </w:pPr>
      <w:r>
        <w:rPr>
          <w:u w:val="single"/>
        </w:rPr>
        <w:t>EPSA comments</w:t>
      </w:r>
      <w:r>
        <w:rPr/>
        <w:t>:</w:t>
      </w:r>
    </w:p>
    <w:p>
      <w:pPr>
        <w:pStyle w:val="Department"/>
        <w:numPr>
          <w:ilvl w:val="0"/>
          <w:numId w:val="3"/>
        </w:numPr>
        <w:spacing w:before="120" w:after="0"/>
        <w:jc w:val="both"/>
        <w:rPr/>
      </w:pPr>
      <w:r>
        <w:rPr/>
        <w:t>Eliminates incentives to develop innovative contract provisions</w:t>
      </w:r>
    </w:p>
    <w:p>
      <w:pPr>
        <w:pStyle w:val="Department"/>
        <w:numPr>
          <w:ilvl w:val="0"/>
          <w:numId w:val="3"/>
        </w:numPr>
        <w:spacing w:before="120" w:after="0"/>
        <w:jc w:val="both"/>
        <w:rPr/>
      </w:pPr>
      <w:r>
        <w:rPr/>
        <w:t xml:space="preserve">Forces greater use of short-term contracts </w:t>
      </w:r>
    </w:p>
    <w:p>
      <w:pPr>
        <w:pStyle w:val="Department"/>
        <w:numPr>
          <w:ilvl w:val="0"/>
          <w:numId w:val="3"/>
        </w:numPr>
        <w:spacing w:before="120" w:after="0"/>
        <w:jc w:val="both"/>
        <w:rPr/>
      </w:pPr>
      <w:r>
        <w:rPr/>
        <w:t>Pricing available in NYMEX, MW Daily formats (just as FERC allows price discovery on gas markets through Gas Daily, etc.)</w:t>
      </w:r>
    </w:p>
    <w:p>
      <w:pPr>
        <w:pStyle w:val="Department"/>
        <w:spacing w:before="120" w:after="0"/>
        <w:jc w:val="both"/>
        <w:rPr/>
      </w:pPr>
      <w:r>
        <w:rPr>
          <w:u w:val="single"/>
        </w:rPr>
        <w:t>Concrete examples of the following areas would be very helpful</w:t>
      </w:r>
      <w:r>
        <w:rPr/>
        <w:t>:</w:t>
      </w:r>
    </w:p>
    <w:p>
      <w:pPr>
        <w:pStyle w:val="Department"/>
        <w:numPr>
          <w:ilvl w:val="0"/>
          <w:numId w:val="3"/>
        </w:numPr>
        <w:spacing w:before="120" w:after="0"/>
        <w:jc w:val="both"/>
        <w:rPr/>
      </w:pPr>
      <w:r>
        <w:rPr>
          <w:b/>
        </w:rPr>
        <w:t>Proprietary innovative structures</w:t>
      </w:r>
      <w:r>
        <w:rPr/>
        <w:t>, the disclosure of which would deprive the founder of its intellectual capital</w:t>
      </w:r>
    </w:p>
    <w:p>
      <w:pPr>
        <w:pStyle w:val="Department"/>
        <w:numPr>
          <w:ilvl w:val="0"/>
          <w:numId w:val="3"/>
        </w:numPr>
        <w:spacing w:before="120" w:after="0"/>
        <w:jc w:val="both"/>
        <w:rPr/>
      </w:pPr>
      <w:r>
        <w:rPr>
          <w:b/>
        </w:rPr>
        <w:t>Specific contract terms</w:t>
      </w:r>
      <w:r>
        <w:rPr/>
        <w:t>, the disclosure of which would hurt both suppliers and purchasers</w:t>
      </w:r>
    </w:p>
    <w:p>
      <w:pPr>
        <w:pStyle w:val="Department"/>
        <w:numPr>
          <w:ilvl w:val="0"/>
          <w:numId w:val="3"/>
        </w:numPr>
        <w:spacing w:before="120" w:after="0"/>
        <w:jc w:val="both"/>
        <w:rPr/>
      </w:pPr>
      <w:r>
        <w:rPr>
          <w:b/>
        </w:rPr>
        <w:t>The relationship between price transparency and the development of a competitive market</w:t>
      </w:r>
      <w:r>
        <w:rPr/>
        <w:t xml:space="preserve"> and why counterparty-specific, long-term price information is not the price transparency that the market needs to either more fully develop or to smooth out price spikes</w:t>
      </w:r>
    </w:p>
    <w:p>
      <w:pPr>
        <w:pStyle w:val="Department"/>
        <w:spacing w:before="120" w:after="0"/>
        <w:jc w:val="both"/>
        <w:rPr>
          <w:b/>
        </w:rPr>
      </w:pPr>
      <w:r>
        <w:rPr>
          <w:b/>
        </w:rPr>
        <w:t>Distribution:</w:t>
      </w:r>
    </w:p>
    <w:p>
      <w:pPr>
        <w:pStyle w:val="Department"/>
        <w:tabs>
          <w:tab w:val="left" w:pos="2160" w:leader="none"/>
        </w:tabs>
        <w:spacing w:before="120" w:after="0"/>
        <w:jc w:val="both"/>
        <w:rPr>
          <w:b/>
        </w:rPr>
      </w:pPr>
      <w:r>
        <w:rPr/>
        <w:t xml:space="preserve">Tim Belden </w:t>
        <w:tab/>
        <w:t>Julie Gomez</w:t>
      </w:r>
    </w:p>
    <w:p>
      <w:pPr>
        <w:pStyle w:val="Department"/>
        <w:tabs>
          <w:tab w:val="left" w:pos="2160" w:leader="none"/>
        </w:tabs>
        <w:jc w:val="both"/>
        <w:rPr/>
      </w:pPr>
      <w:r>
        <w:rPr/>
        <w:t>Dave Delainey</w:t>
        <w:tab/>
        <w:t>Kevin Hannon</w:t>
      </w:r>
    </w:p>
    <w:p>
      <w:pPr>
        <w:pStyle w:val="Department"/>
        <w:tabs>
          <w:tab w:val="left" w:pos="2160" w:leader="none"/>
        </w:tabs>
        <w:jc w:val="both"/>
        <w:rPr/>
      </w:pPr>
      <w:r>
        <w:rPr/>
        <w:t>Dave Duran</w:t>
        <w:tab/>
        <w:t>Greg Piper</w:t>
      </w:r>
    </w:p>
    <w:p>
      <w:pPr>
        <w:pStyle w:val="Department"/>
        <w:tabs>
          <w:tab w:val="left" w:pos="2160" w:leader="none"/>
        </w:tabs>
        <w:jc w:val="both"/>
        <w:rPr/>
      </w:pPr>
      <w:r>
        <w:rPr/>
        <w:t>Jim Fallon</w:t>
        <w:tab/>
        <w:t>Ken Rice</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sz w:val="16"/>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/mnt/main-storage/datasets/enron-docs/doc/Williams1.doc</w:t>
    </w:r>
    <w:r>
      <w:rPr>
        <w:sz w:val="16"/>
        <w:lang w:eastAsia="en-US"/>
      </w:rPr>
      <w:fldChar w:fldCharType="end"/>
    </w:r>
  </w:p>
  <w:p>
    <w:pPr>
      <w:pStyle w:val="Footer"/>
      <w:tabs>
        <w:tab w:val="clear" w:pos="4320"/>
        <w:tab w:val="left" w:pos="3780" w:leader="none"/>
        <w:tab w:val="center" w:pos="7560" w:leader="none"/>
        <w:tab w:val="right" w:pos="8640" w:leader="none"/>
      </w:tabs>
      <w:rPr>
        <w:sz w:val="16"/>
      </w:rPr>
    </w:pPr>
    <w:r>
      <w:rPr>
        <w:sz w:val="16"/>
      </w:rPr>
    </w:r>
  </w:p>
  <w:p>
    <w:pPr>
      <w:pStyle w:val="Footer"/>
      <w:tabs>
        <w:tab w:val="clear" w:pos="4320"/>
        <w:tab w:val="left" w:pos="3780" w:leader="none"/>
        <w:tab w:val="center" w:pos="7560" w:leader="none"/>
        <w:tab w:val="right" w:pos="8640" w:leader="none"/>
      </w:tabs>
      <w:jc w:val="center"/>
      <w:rPr>
        <w:b/>
        <w:sz w:val="16"/>
      </w:rPr>
    </w:pPr>
    <w:r>
      <w:rPr>
        <w:b/>
        <w:sz w:val="16"/>
      </w:rPr>
    </w:r>
  </w:p>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sz w:val="16"/>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/mnt/main-storage/datasets/enron-docs/doc/Williams1.doc</w:t>
    </w:r>
    <w:r>
      <w:rPr>
        <w:sz w:val="16"/>
        <w:lang w:eastAsia="en-US"/>
      </w:rPr>
      <w:fldChar w:fldCharType="end"/>
    </w:r>
  </w:p>
  <w:p>
    <w:pPr>
      <w:pStyle w:val="Footer"/>
      <w:tabs>
        <w:tab w:val="clear" w:pos="4320"/>
        <w:tab w:val="left" w:pos="2430" w:leader="none"/>
        <w:tab w:val="left" w:pos="5310" w:leader="none"/>
        <w:tab w:val="right" w:pos="8640" w:leader="none"/>
        <w:tab w:val="right" w:pos="10800" w:leader="none"/>
      </w:tabs>
      <w:rPr>
        <w:sz w:val="16"/>
      </w:rPr>
    </w:pPr>
    <w:r>
      <w:rPr>
        <w:sz w:val="16"/>
      </w:rPr>
    </w:r>
  </w:p>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5760" w:leader="none"/>
        <w:tab w:val="right" w:pos="10530" w:leader="none"/>
      </w:tabs>
      <w:rPr/>
    </w:pPr>
    <w:r>
      <w:rPr>
        <w:sz w:val="20"/>
      </w:rPr>
      <w:tab/>
    </w:r>
    <w:r>
      <w:rPr>
        <w:sz w:val="20"/>
      </w:rPr>
      <w:fldChar w:fldCharType="begin"/>
    </w:r>
    <w:r>
      <w:rPr>
        <w:sz w:val="20"/>
      </w:rPr>
      <w:instrText xml:space="preserve"> DATE \@"M-d-yyyy" </w:instrText>
    </w:r>
    <w:r>
      <w:rPr>
        <w:sz w:val="20"/>
      </w:rPr>
      <w:fldChar w:fldCharType="separate"/>
    </w:r>
    <w:r>
      <w:rPr>
        <w:sz w:val="20"/>
      </w:rPr>
      <w:t>9/28/2025</w:t>
    </w:r>
    <w:r>
      <w:rPr>
        <w:sz w:val="20"/>
      </w:rPr>
      <w:fldChar w:fldCharType="end"/>
    </w:r>
    <w:r>
      <w:rPr>
        <w:sz w:val="20"/>
      </w:rPr>
      <w:tab/>
      <w:t xml:space="preserve">Page </w:t>
    </w:r>
    <w:r>
      <w:rPr>
        <w:sz w:val="20"/>
      </w:rPr>
      <w:fldChar w:fldCharType="begin"/>
    </w:r>
    <w:r>
      <w:rPr>
        <w:sz w:val="20"/>
      </w:rPr>
      <w:instrText xml:space="preserve"> PAGE </w:instrText>
    </w:r>
    <w:r>
      <w:rPr>
        <w:sz w:val="20"/>
      </w:rPr>
      <w:fldChar w:fldCharType="separate"/>
    </w:r>
    <w:r>
      <w:rPr>
        <w:sz w:val="20"/>
      </w:rPr>
      <w:t>0</w:t>
    </w:r>
    <w:r>
      <w:rPr>
        <w:sz w:val="20"/>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432" w:hanging="360"/>
      </w:pPr>
      <w:rPr>
        <w:rFonts w:ascii="Wingdings" w:hAnsi="Wingdings" w:cs="Wingdings" w:hint="default"/>
        <w:sz w:val="20"/>
        <w:i w:val="false"/>
        <w:u w:val="none"/>
        <w:b w:val="false"/>
        <w:color w:val="000080"/>
      </w:rPr>
    </w:lvl>
  </w:abstractNum>
  <w:abstractNum w:abstractNumId="3">
    <w:lvl w:ilvl="0">
      <w:numFmt w:val="bullet"/>
      <w:lvlText w:val=""/>
      <w:lvlJc w:val="start"/>
      <w:pPr>
        <w:tabs>
          <w:tab w:val="num" w:pos="360"/>
        </w:tabs>
        <w:ind w:start="360" w:hanging="360"/>
      </w:pPr>
      <w:rPr>
        <w:rFonts w:ascii="Wingdings" w:hAnsi="Wingdings" w:cs="Wingdings" w:hint="default"/>
        <w:sz w:val="20"/>
        <w:i w:val="false"/>
        <w:u w:val="none"/>
        <w:b w:val="false"/>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St1z0">
    <w:name w:val="WW8NumSt1z0"/>
    <w:qFormat/>
    <w:rPr>
      <w:rFonts w:ascii="Wingdings" w:hAnsi="Wingdings" w:cs="Wingdings"/>
      <w:b w:val="false"/>
      <w:i w:val="false"/>
      <w:color w:val="000080"/>
      <w:sz w:val="20"/>
      <w:u w:val="none"/>
    </w:rPr>
  </w:style>
  <w:style w:type="character" w:styleId="WW8NumSt2z0">
    <w:name w:val="WW8NumSt2z0"/>
    <w:qFormat/>
    <w:rPr>
      <w:rFonts w:ascii="Wingdings" w:hAnsi="Wingdings" w:cs="Wingdings"/>
      <w:b w:val="false"/>
      <w:i w:val="false"/>
      <w:sz w:val="20"/>
      <w:u w:val="none"/>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1999-06-15T12:29:00Z</dcterms:created>
  <dc:creator>Jeff Ford</dc:creator>
  <dc:description/>
  <dc:language>en-CA</dc:language>
  <cp:lastModifiedBy>Brenda Whitehead</cp:lastModifiedBy>
  <cp:lastPrinted>1999-06-15T10:21:00Z</cp:lastPrinted>
  <dcterms:modified xsi:type="dcterms:W3CDTF">1999-06-15T12:52:00Z</dcterms:modified>
  <cp:revision>6</cp:revision>
  <dc:subject/>
  <dc:title>Eron Capital &amp; Trade Resources Memo</dc:title>
</cp:coreProperties>
</file>