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right" w:pos="9900" w:leader="none"/>
        </w:tabs>
        <w:spacing w:before="240" w:after="60"/>
        <w:ind w:hanging="0" w:start="0" w:end="-180"/>
        <w:jc w:val="center"/>
        <w:rPr>
          <w:rFonts w:ascii="Times New Roman" w:hAnsi="Times New Roman" w:cs="Times New Roman"/>
          <w:sz w:val="24"/>
          <w:szCs w:val="24"/>
        </w:rPr>
      </w:pPr>
      <w:r>
        <w:rPr>
          <w:rFonts w:cs="Times New Roman" w:ascii="Times New Roman" w:hAnsi="Times New Roman"/>
          <w:sz w:val="24"/>
          <w:szCs w:val="24"/>
        </w:rPr>
        <w:t>WILLIAM G. GURROLA</w:t>
      </w:r>
    </w:p>
    <w:p>
      <w:pPr>
        <w:pStyle w:val="Normal"/>
        <w:pBdr>
          <w:bottom w:val="single" w:sz="12" w:space="1" w:color="000000"/>
        </w:pBdr>
        <w:jc w:val="center"/>
        <w:rPr/>
      </w:pPr>
      <w:r>
        <w:rPr>
          <w:sz w:val="20"/>
          <w:szCs w:val="20"/>
        </w:rPr>
        <w:t xml:space="preserve">1615 Hermann Drive, Apt. 2419   </w:t>
      </w:r>
      <w:r>
        <w:rPr>
          <w:rFonts w:eastAsia="Symbol" w:cs="Symbol" w:ascii="Symbol" w:hAnsi="Symbol"/>
          <w:sz w:val="20"/>
          <w:szCs w:val="20"/>
        </w:rPr>
        <w:sym w:font="Symbol" w:char="f0b7"/>
      </w:r>
      <w:r>
        <w:rPr>
          <w:sz w:val="20"/>
          <w:szCs w:val="20"/>
        </w:rPr>
        <w:t xml:space="preserve">    Houston, TX  77004    </w:t>
      </w:r>
      <w:r>
        <w:rPr>
          <w:rFonts w:eastAsia="Symbol" w:cs="Symbol" w:ascii="Symbol" w:hAnsi="Symbol"/>
          <w:sz w:val="20"/>
          <w:szCs w:val="20"/>
        </w:rPr>
        <w:sym w:font="Symbol" w:char="f0b7"/>
      </w:r>
      <w:r>
        <w:rPr>
          <w:sz w:val="20"/>
          <w:szCs w:val="20"/>
        </w:rPr>
        <w:t xml:space="preserve">   713 528-1167   </w:t>
      </w:r>
      <w:r>
        <w:rPr>
          <w:rFonts w:eastAsia="Symbol" w:cs="Symbol" w:ascii="Symbol" w:hAnsi="Symbol"/>
          <w:sz w:val="20"/>
          <w:szCs w:val="20"/>
        </w:rPr>
        <w:sym w:font="Symbol" w:char="f0b7"/>
      </w:r>
      <w:r>
        <w:rPr>
          <w:sz w:val="20"/>
          <w:szCs w:val="20"/>
        </w:rPr>
        <w:t xml:space="preserve">  william.gurrola@enron.com</w:t>
      </w:r>
    </w:p>
    <w:p>
      <w:pPr>
        <w:pStyle w:val="Heading5"/>
        <w:rPr>
          <w:sz w:val="8"/>
          <w:szCs w:val="8"/>
        </w:rPr>
      </w:pPr>
      <w:r>
        <w:rPr>
          <w:sz w:val="8"/>
          <w:szCs w:val="8"/>
        </w:rPr>
      </w:r>
    </w:p>
    <w:p>
      <w:pPr>
        <w:pStyle w:val="Normal"/>
        <w:rPr>
          <w:sz w:val="16"/>
          <w:szCs w:val="16"/>
        </w:rPr>
      </w:pPr>
      <w:r>
        <w:rPr>
          <w:sz w:val="16"/>
          <w:szCs w:val="16"/>
        </w:rPr>
      </w:r>
    </w:p>
    <w:p>
      <w:pPr>
        <w:pStyle w:val="Heading5"/>
        <w:rPr/>
      </w:pPr>
      <w:r>
        <w:rPr/>
        <w:t>EXPERIENCE</w:t>
      </w:r>
    </w:p>
    <w:p>
      <w:pPr>
        <w:pStyle w:val="Normal"/>
        <w:rPr>
          <w:sz w:val="10"/>
          <w:szCs w:val="10"/>
        </w:rPr>
      </w:pPr>
      <w:r>
        <w:rPr>
          <w:sz w:val="10"/>
          <w:szCs w:val="10"/>
        </w:rPr>
      </w:r>
    </w:p>
    <w:p>
      <w:pPr>
        <w:pStyle w:val="Heading4"/>
        <w:tabs>
          <w:tab w:val="clear" w:pos="720"/>
          <w:tab w:val="right" w:pos="9900" w:leader="none"/>
        </w:tabs>
        <w:ind w:hanging="0" w:start="0" w:end="-180"/>
        <w:rPr>
          <w:sz w:val="20"/>
          <w:szCs w:val="20"/>
        </w:rPr>
      </w:pPr>
      <w:r>
        <w:rPr>
          <w:sz w:val="20"/>
          <w:szCs w:val="20"/>
        </w:rPr>
        <w:t>Enron Corp. (ENE/NYSE)</w:t>
        <w:tab/>
        <w:t>Houston, TX</w:t>
      </w:r>
    </w:p>
    <w:p>
      <w:pPr>
        <w:pStyle w:val="BodyText"/>
        <w:rPr>
          <w:sz w:val="20"/>
          <w:szCs w:val="20"/>
        </w:rPr>
      </w:pPr>
      <w:r>
        <w:rPr>
          <w:sz w:val="20"/>
          <w:szCs w:val="20"/>
        </w:rPr>
        <w:t>Associate, Generation Investments (Supervisor: Carl Tricoli)</w:t>
        <w:tab/>
        <w:t>Aug. 2001 – to date</w:t>
      </w:r>
    </w:p>
    <w:p>
      <w:pPr>
        <w:pStyle w:val="Heading4"/>
        <w:tabs>
          <w:tab w:val="clear" w:pos="720"/>
          <w:tab w:val="right" w:pos="9900" w:leader="none"/>
        </w:tabs>
        <w:ind w:hanging="0" w:start="0" w:end="-180"/>
        <w:rPr>
          <w:sz w:val="10"/>
          <w:szCs w:val="10"/>
        </w:rPr>
      </w:pPr>
      <w:r>
        <w:rPr>
          <w:sz w:val="10"/>
          <w:szCs w:val="10"/>
        </w:rPr>
      </w:r>
    </w:p>
    <w:p>
      <w:pPr>
        <w:pStyle w:val="Normal"/>
        <w:tabs>
          <w:tab w:val="clear" w:pos="720"/>
          <w:tab w:val="right" w:pos="9900" w:leader="none"/>
        </w:tabs>
        <w:ind w:end="238"/>
        <w:jc w:val="both"/>
        <w:rPr>
          <w:sz w:val="20"/>
          <w:szCs w:val="20"/>
        </w:rPr>
      </w:pPr>
      <w:r>
        <w:rPr>
          <w:sz w:val="20"/>
          <w:szCs w:val="20"/>
        </w:rPr>
        <w:t>Supported the group’s managers and directors on following deals:</w:t>
      </w:r>
    </w:p>
    <w:p>
      <w:pPr>
        <w:pStyle w:val="Normal"/>
        <w:tabs>
          <w:tab w:val="clear" w:pos="720"/>
          <w:tab w:val="right" w:pos="9900" w:leader="none"/>
        </w:tabs>
        <w:ind w:end="238"/>
        <w:jc w:val="both"/>
        <w:rPr>
          <w:sz w:val="20"/>
          <w:szCs w:val="20"/>
        </w:rPr>
      </w:pPr>
      <w:r>
        <w:rPr>
          <w:sz w:val="20"/>
          <w:szCs w:val="20"/>
        </w:rPr>
        <w:t>(1) Project: Offer several power off-take alternatives and value creating structures to client: Contingent Call Structure, Synthetic Plant, Partial Tolling Agreements.</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Modeled and analyzed the economics of swaps, tolling agreements and a synthetic peaking plant for client.</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Drafted term sheet and letter of interest, and modeled call premium payments for the contingent call structure.</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Compiled extensive research information on client (capital structure, generation portfolio, merchant strategy).</w:t>
      </w:r>
    </w:p>
    <w:p>
      <w:pPr>
        <w:pStyle w:val="Normal"/>
        <w:tabs>
          <w:tab w:val="clear" w:pos="720"/>
          <w:tab w:val="right" w:pos="9900" w:leader="none"/>
        </w:tabs>
        <w:ind w:end="238"/>
        <w:jc w:val="both"/>
        <w:rPr>
          <w:sz w:val="14"/>
          <w:szCs w:val="14"/>
        </w:rPr>
      </w:pPr>
      <w:r>
        <w:rPr>
          <w:sz w:val="14"/>
          <w:szCs w:val="14"/>
        </w:rPr>
      </w:r>
    </w:p>
    <w:p>
      <w:pPr>
        <w:pStyle w:val="Normal"/>
        <w:tabs>
          <w:tab w:val="clear" w:pos="720"/>
          <w:tab w:val="right" w:pos="9900" w:leader="none"/>
        </w:tabs>
        <w:ind w:end="238"/>
        <w:jc w:val="both"/>
        <w:rPr>
          <w:sz w:val="20"/>
          <w:szCs w:val="20"/>
        </w:rPr>
      </w:pPr>
      <w:r>
        <w:rPr>
          <w:sz w:val="20"/>
          <w:szCs w:val="20"/>
        </w:rPr>
        <w:t>(2) Project: Analyze the possibility of amending an out-of-the-money PPA, and create tax benefit structure for client.</w:t>
      </w:r>
    </w:p>
    <w:p>
      <w:pPr>
        <w:pStyle w:val="Normal"/>
        <w:numPr>
          <w:ilvl w:val="0"/>
          <w:numId w:val="3"/>
        </w:numPr>
        <w:tabs>
          <w:tab w:val="left" w:pos="720" w:leader="none"/>
          <w:tab w:val="right" w:pos="9900" w:leader="none"/>
        </w:tabs>
        <w:ind w:hanging="720" w:start="1080" w:end="238"/>
        <w:jc w:val="both"/>
        <w:rPr>
          <w:sz w:val="20"/>
          <w:szCs w:val="20"/>
        </w:rPr>
      </w:pPr>
      <w:r>
        <w:rPr>
          <w:sz w:val="20"/>
          <w:szCs w:val="20"/>
        </w:rPr>
        <w:t>Supported in structuring the deal and evaluated the initial economics of the proposed structure.</w:t>
      </w:r>
    </w:p>
    <w:p>
      <w:pPr>
        <w:pStyle w:val="Normal"/>
        <w:rPr>
          <w:sz w:val="14"/>
          <w:szCs w:val="14"/>
        </w:rPr>
      </w:pPr>
      <w:r>
        <w:rPr>
          <w:sz w:val="14"/>
          <w:szCs w:val="14"/>
        </w:rPr>
      </w:r>
    </w:p>
    <w:p>
      <w:pPr>
        <w:pStyle w:val="Normal"/>
        <w:tabs>
          <w:tab w:val="clear" w:pos="720"/>
          <w:tab w:val="right" w:pos="9900" w:leader="none"/>
        </w:tabs>
        <w:ind w:end="238"/>
        <w:jc w:val="both"/>
        <w:rPr>
          <w:sz w:val="20"/>
          <w:szCs w:val="20"/>
        </w:rPr>
      </w:pPr>
      <w:r>
        <w:rPr>
          <w:sz w:val="20"/>
          <w:szCs w:val="20"/>
        </w:rPr>
        <w:t xml:space="preserve">(3) Project: Power Plant Facility Purchase and Restructuring </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 xml:space="preserve">Audited and updated existing base case model, and modeled restructuring scenario. </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 xml:space="preserve">Compared base case to restructuring scenario and valued incremental cash flows to determine restructuring uplift. </w:t>
      </w:r>
    </w:p>
    <w:p>
      <w:pPr>
        <w:pStyle w:val="Normal"/>
        <w:numPr>
          <w:ilvl w:val="0"/>
          <w:numId w:val="3"/>
        </w:numPr>
        <w:tabs>
          <w:tab w:val="left" w:pos="720" w:leader="none"/>
          <w:tab w:val="right" w:pos="9900" w:leader="none"/>
        </w:tabs>
        <w:ind w:hanging="360" w:start="720" w:end="238"/>
        <w:jc w:val="both"/>
        <w:rPr>
          <w:sz w:val="20"/>
          <w:szCs w:val="20"/>
        </w:rPr>
      </w:pPr>
      <w:r>
        <w:rPr>
          <w:sz w:val="20"/>
          <w:szCs w:val="20"/>
        </w:rPr>
        <w:t>Analyzed the facility’s historic dispatch, heat rate, use of fuel, plant starts to determine dispatch rationale versus historic power prices.</w:t>
      </w:r>
    </w:p>
    <w:p>
      <w:pPr>
        <w:pStyle w:val="Normal"/>
        <w:rPr>
          <w:sz w:val="14"/>
          <w:szCs w:val="14"/>
        </w:rPr>
      </w:pPr>
      <w:r>
        <w:rPr>
          <w:sz w:val="14"/>
          <w:szCs w:val="14"/>
        </w:rPr>
      </w:r>
    </w:p>
    <w:p>
      <w:pPr>
        <w:pStyle w:val="Heading4"/>
        <w:tabs>
          <w:tab w:val="clear" w:pos="720"/>
          <w:tab w:val="right" w:pos="9900" w:leader="none"/>
        </w:tabs>
        <w:ind w:hanging="0" w:start="0" w:end="-180"/>
        <w:rPr>
          <w:sz w:val="20"/>
          <w:szCs w:val="20"/>
        </w:rPr>
      </w:pPr>
      <w:r>
        <w:rPr>
          <w:sz w:val="20"/>
          <w:szCs w:val="20"/>
        </w:rPr>
        <w:t>Unocal Corporation (UCL/NYSE)</w:t>
        <w:tab/>
        <w:t>Houston, TX</w:t>
      </w:r>
    </w:p>
    <w:p>
      <w:pPr>
        <w:pStyle w:val="BodyText"/>
        <w:rPr>
          <w:sz w:val="20"/>
          <w:szCs w:val="20"/>
        </w:rPr>
      </w:pPr>
      <w:r>
        <w:rPr>
          <w:sz w:val="20"/>
          <w:szCs w:val="20"/>
        </w:rPr>
        <w:t>Summer Associate, Project and Structured Finance Group</w:t>
        <w:tab/>
        <w:t>June – Aug. 2000</w:t>
      </w:r>
    </w:p>
    <w:p>
      <w:pPr>
        <w:pStyle w:val="Normal"/>
        <w:tabs>
          <w:tab w:val="clear" w:pos="720"/>
          <w:tab w:val="right" w:pos="9900" w:leader="none"/>
        </w:tabs>
        <w:ind w:end="238"/>
        <w:jc w:val="both"/>
        <w:rPr>
          <w:sz w:val="14"/>
          <w:szCs w:val="14"/>
        </w:rPr>
      </w:pPr>
      <w:r>
        <w:rPr>
          <w:sz w:val="14"/>
          <w:szCs w:val="14"/>
        </w:rPr>
      </w:r>
    </w:p>
    <w:p>
      <w:pPr>
        <w:pStyle w:val="Normal"/>
        <w:numPr>
          <w:ilvl w:val="0"/>
          <w:numId w:val="3"/>
        </w:numPr>
        <w:tabs>
          <w:tab w:val="clear" w:pos="720"/>
          <w:tab w:val="right" w:pos="9900" w:leader="none"/>
        </w:tabs>
        <w:ind w:hanging="360" w:start="360" w:end="238"/>
        <w:jc w:val="both"/>
        <w:rPr>
          <w:sz w:val="20"/>
          <w:szCs w:val="20"/>
        </w:rPr>
      </w:pPr>
      <w:r>
        <w:rPr>
          <w:sz w:val="20"/>
          <w:szCs w:val="20"/>
        </w:rPr>
        <w:t>Assessed the creation of a new subsidiary-partnership that would manage UCL’s mid and downstream power assets in East Asia. Main duties included consolidating projects (assets) into financial model and determining the size, capital structure, risk &amp; return, tax issues, asset-acquisition and market strategies of new entity.</w:t>
      </w:r>
    </w:p>
    <w:p>
      <w:pPr>
        <w:pStyle w:val="Normal"/>
        <w:numPr>
          <w:ilvl w:val="0"/>
          <w:numId w:val="3"/>
        </w:numPr>
        <w:tabs>
          <w:tab w:val="clear" w:pos="720"/>
          <w:tab w:val="right" w:pos="9900" w:leader="none"/>
        </w:tabs>
        <w:ind w:hanging="360" w:start="360" w:end="238"/>
        <w:jc w:val="both"/>
        <w:rPr>
          <w:sz w:val="20"/>
          <w:szCs w:val="20"/>
        </w:rPr>
      </w:pPr>
      <w:r>
        <w:rPr>
          <w:sz w:val="20"/>
          <w:szCs w:val="20"/>
        </w:rPr>
        <w:t>Analyzed and synthesized structured finance proposals from Banks: accounting, tax and risk benefit structures–i.e. limited partnerships, trusts, JV, minority interest structures and asset monetization acquisition funds.</w:t>
      </w:r>
    </w:p>
    <w:p>
      <w:pPr>
        <w:pStyle w:val="Normal"/>
        <w:numPr>
          <w:ilvl w:val="0"/>
          <w:numId w:val="3"/>
        </w:numPr>
        <w:tabs>
          <w:tab w:val="clear" w:pos="720"/>
          <w:tab w:val="right" w:pos="9900" w:leader="none"/>
        </w:tabs>
        <w:ind w:hanging="360" w:start="360" w:end="238"/>
        <w:jc w:val="both"/>
        <w:rPr>
          <w:sz w:val="20"/>
          <w:szCs w:val="20"/>
        </w:rPr>
      </w:pPr>
      <w:r>
        <w:rPr>
          <w:sz w:val="20"/>
          <w:szCs w:val="20"/>
        </w:rPr>
        <w:t>Wrote a paper on project financing’s impact on UCL’s cost of capital, and on the optimal use of this financing structure versus traditional corporate debt. The paper was distributed to and discussed within the finance areas.</w:t>
      </w:r>
    </w:p>
    <w:p>
      <w:pPr>
        <w:pStyle w:val="Normal"/>
        <w:tabs>
          <w:tab w:val="clear" w:pos="720"/>
          <w:tab w:val="right" w:pos="9900" w:leader="none"/>
        </w:tabs>
        <w:ind w:end="-180"/>
        <w:jc w:val="both"/>
        <w:rPr>
          <w:sz w:val="10"/>
          <w:szCs w:val="10"/>
        </w:rPr>
      </w:pPr>
      <w:r>
        <w:rPr>
          <w:sz w:val="10"/>
          <w:szCs w:val="10"/>
        </w:rPr>
      </w:r>
    </w:p>
    <w:p>
      <w:pPr>
        <w:pStyle w:val="Normal"/>
        <w:tabs>
          <w:tab w:val="clear" w:pos="720"/>
          <w:tab w:val="right" w:pos="9900" w:leader="none"/>
        </w:tabs>
        <w:ind w:end="-180"/>
        <w:jc w:val="both"/>
        <w:rPr>
          <w:sz w:val="10"/>
          <w:szCs w:val="10"/>
        </w:rPr>
      </w:pPr>
      <w:r>
        <w:rPr>
          <w:sz w:val="10"/>
          <w:szCs w:val="10"/>
        </w:rPr>
      </w:r>
    </w:p>
    <w:p>
      <w:pPr>
        <w:pStyle w:val="Heading2"/>
        <w:tabs>
          <w:tab w:val="clear" w:pos="720"/>
          <w:tab w:val="right" w:pos="9900" w:leader="none"/>
        </w:tabs>
        <w:ind w:hanging="0" w:start="0" w:end="-180"/>
        <w:jc w:val="both"/>
        <w:rPr/>
      </w:pPr>
      <w:r>
        <w:rPr/>
        <w:t>Banca Serfin, S.A. (currently Banco Santander)</w:t>
        <w:tab/>
        <w:t>Mexico City, Mexico</w:t>
      </w:r>
    </w:p>
    <w:p>
      <w:pPr>
        <w:pStyle w:val="Heading2"/>
        <w:tabs>
          <w:tab w:val="clear" w:pos="720"/>
          <w:tab w:val="right" w:pos="9900" w:leader="none"/>
        </w:tabs>
        <w:ind w:hanging="0" w:start="0" w:end="-180"/>
        <w:jc w:val="both"/>
        <w:rPr/>
      </w:pPr>
      <w:r>
        <w:rPr/>
        <w:t>Corporate Banking Manager</w:t>
        <w:tab/>
        <w:t>Jan. 1996 - June 1999</w:t>
      </w:r>
    </w:p>
    <w:p>
      <w:pPr>
        <w:pStyle w:val="Normal"/>
        <w:tabs>
          <w:tab w:val="clear" w:pos="720"/>
          <w:tab w:val="right" w:pos="9900" w:leader="none"/>
        </w:tabs>
        <w:ind w:end="238"/>
        <w:rPr>
          <w:sz w:val="14"/>
          <w:szCs w:val="14"/>
        </w:rPr>
      </w:pPr>
      <w:r>
        <w:rPr>
          <w:sz w:val="14"/>
          <w:szCs w:val="14"/>
        </w:rPr>
      </w:r>
    </w:p>
    <w:p>
      <w:pPr>
        <w:pStyle w:val="Normal"/>
        <w:numPr>
          <w:ilvl w:val="0"/>
          <w:numId w:val="4"/>
        </w:numPr>
        <w:tabs>
          <w:tab w:val="clear" w:pos="720"/>
          <w:tab w:val="right" w:pos="9900" w:leader="none"/>
        </w:tabs>
        <w:ind w:hanging="360" w:start="360" w:end="238"/>
        <w:rPr>
          <w:sz w:val="20"/>
          <w:szCs w:val="20"/>
        </w:rPr>
      </w:pPr>
      <w:r>
        <w:rPr>
          <w:sz w:val="20"/>
          <w:szCs w:val="20"/>
        </w:rPr>
        <w:t xml:space="preserve">Managed a portfolio of corporate clients in the media (TV &amp; Radio), pharmaceutical and transportation industries. </w:t>
      </w:r>
    </w:p>
    <w:p>
      <w:pPr>
        <w:pStyle w:val="Normal"/>
        <w:numPr>
          <w:ilvl w:val="0"/>
          <w:numId w:val="4"/>
        </w:numPr>
        <w:tabs>
          <w:tab w:val="clear" w:pos="720"/>
          <w:tab w:val="right" w:pos="9900" w:leader="none"/>
        </w:tabs>
        <w:ind w:hanging="360" w:start="360" w:end="238"/>
        <w:rPr>
          <w:sz w:val="20"/>
          <w:szCs w:val="20"/>
        </w:rPr>
      </w:pPr>
      <w:r>
        <w:rPr>
          <w:sz w:val="20"/>
          <w:szCs w:val="20"/>
        </w:rPr>
        <w:t xml:space="preserve">Conducted credit and cash flow analyses, built forecast and valuation models to assess companies for credit lines, syndicated loans, and commercial trade instruments (i.e. letters of credit and multilateral export-import agency funds). </w:t>
      </w:r>
    </w:p>
    <w:p>
      <w:pPr>
        <w:pStyle w:val="Normal"/>
        <w:numPr>
          <w:ilvl w:val="0"/>
          <w:numId w:val="4"/>
        </w:numPr>
        <w:tabs>
          <w:tab w:val="clear" w:pos="720"/>
          <w:tab w:val="right" w:pos="9900" w:leader="none"/>
        </w:tabs>
        <w:ind w:hanging="360" w:start="360" w:end="238"/>
        <w:rPr>
          <w:sz w:val="20"/>
          <w:szCs w:val="20"/>
        </w:rPr>
      </w:pPr>
      <w:r>
        <w:rPr>
          <w:sz w:val="20"/>
          <w:szCs w:val="20"/>
        </w:rPr>
        <w:t>Structured long-term credit facilities and arranged other financing conduits to tailor needs of clients; managed and monitored life and performance of short-term revolving credit lines for client’s working capital needs.</w:t>
      </w:r>
    </w:p>
    <w:p>
      <w:pPr>
        <w:pStyle w:val="Normal"/>
        <w:numPr>
          <w:ilvl w:val="0"/>
          <w:numId w:val="4"/>
        </w:numPr>
        <w:tabs>
          <w:tab w:val="clear" w:pos="720"/>
          <w:tab w:val="right" w:pos="9900" w:leader="none"/>
        </w:tabs>
        <w:ind w:hanging="360" w:start="360" w:end="238"/>
        <w:rPr>
          <w:sz w:val="20"/>
          <w:szCs w:val="20"/>
        </w:rPr>
      </w:pPr>
      <w:r>
        <w:rPr>
          <w:sz w:val="20"/>
          <w:szCs w:val="20"/>
        </w:rPr>
        <w:t>Participated in the first asset-backed securitization placed in the Mexican Stock Market - (Elektra/MXX-IPC).</w:t>
      </w:r>
    </w:p>
    <w:p>
      <w:pPr>
        <w:pStyle w:val="Normal"/>
        <w:numPr>
          <w:ilvl w:val="0"/>
          <w:numId w:val="4"/>
        </w:numPr>
        <w:tabs>
          <w:tab w:val="clear" w:pos="720"/>
          <w:tab w:val="right" w:pos="9900" w:leader="none"/>
        </w:tabs>
        <w:ind w:hanging="360" w:start="360" w:end="238"/>
        <w:rPr>
          <w:sz w:val="20"/>
          <w:szCs w:val="20"/>
        </w:rPr>
      </w:pPr>
      <w:r>
        <w:rPr>
          <w:sz w:val="20"/>
          <w:szCs w:val="20"/>
        </w:rPr>
        <w:t>Created pitch books and made internal (to Credit Committees) and external (to clients) presentations.</w:t>
      </w:r>
    </w:p>
    <w:p>
      <w:pPr>
        <w:pStyle w:val="Normal"/>
        <w:tabs>
          <w:tab w:val="clear" w:pos="720"/>
          <w:tab w:val="right" w:pos="9900" w:leader="none"/>
        </w:tabs>
        <w:ind w:end="-180"/>
        <w:jc w:val="both"/>
        <w:rPr>
          <w:sz w:val="10"/>
          <w:szCs w:val="10"/>
        </w:rPr>
      </w:pPr>
      <w:r>
        <w:rPr>
          <w:sz w:val="10"/>
          <w:szCs w:val="10"/>
        </w:rPr>
      </w:r>
    </w:p>
    <w:p>
      <w:pPr>
        <w:pStyle w:val="Heading2"/>
        <w:tabs>
          <w:tab w:val="clear" w:pos="720"/>
          <w:tab w:val="right" w:pos="9900" w:leader="none"/>
        </w:tabs>
        <w:ind w:hanging="0" w:start="0" w:end="-180"/>
        <w:jc w:val="both"/>
        <w:rPr>
          <w:sz w:val="24"/>
          <w:szCs w:val="24"/>
        </w:rPr>
      </w:pPr>
      <w:r>
        <w:rPr>
          <w:sz w:val="24"/>
          <w:szCs w:val="24"/>
        </w:rPr>
        <w:t>EDUCATION</w:t>
      </w:r>
    </w:p>
    <w:p>
      <w:pPr>
        <w:pStyle w:val="Normal"/>
        <w:rPr>
          <w:sz w:val="10"/>
          <w:szCs w:val="10"/>
        </w:rPr>
      </w:pPr>
      <w:r>
        <w:rPr>
          <w:sz w:val="10"/>
          <w:szCs w:val="10"/>
        </w:rPr>
      </w:r>
    </w:p>
    <w:p>
      <w:pPr>
        <w:pStyle w:val="Heading3"/>
        <w:tabs>
          <w:tab w:val="clear" w:pos="720"/>
          <w:tab w:val="right" w:pos="9900" w:leader="none"/>
        </w:tabs>
        <w:ind w:hanging="0" w:start="0" w:end="-180"/>
        <w:jc w:val="both"/>
        <w:rPr/>
      </w:pPr>
      <w:r>
        <w:rPr/>
        <w:t xml:space="preserve">A. B. Freeman School of Business, Tulane University </w:t>
        <w:tab/>
        <w:t>New Orleans, LA</w:t>
      </w:r>
    </w:p>
    <w:p>
      <w:pPr>
        <w:pStyle w:val="Normal"/>
        <w:tabs>
          <w:tab w:val="clear" w:pos="720"/>
          <w:tab w:val="right" w:pos="9900" w:leader="none"/>
        </w:tabs>
        <w:ind w:end="-180"/>
        <w:jc w:val="both"/>
        <w:rPr>
          <w:sz w:val="20"/>
          <w:szCs w:val="20"/>
        </w:rPr>
      </w:pPr>
      <w:r>
        <w:rPr>
          <w:sz w:val="20"/>
          <w:szCs w:val="20"/>
        </w:rPr>
        <w:t>Master of Business Administration, Cumulative GPA 3.75     Finance GPA 3.9</w:t>
        <w:tab/>
      </w:r>
      <w:r>
        <w:rPr>
          <w:b/>
          <w:bCs/>
          <w:sz w:val="20"/>
          <w:szCs w:val="20"/>
        </w:rPr>
        <w:t>May 2001</w:t>
      </w:r>
    </w:p>
    <w:p>
      <w:pPr>
        <w:pStyle w:val="Normal"/>
        <w:tabs>
          <w:tab w:val="clear" w:pos="720"/>
          <w:tab w:val="right" w:pos="9900" w:leader="none"/>
        </w:tabs>
        <w:ind w:end="-180"/>
        <w:jc w:val="both"/>
        <w:rPr>
          <w:sz w:val="20"/>
          <w:szCs w:val="20"/>
        </w:rPr>
      </w:pPr>
      <w:r>
        <w:rPr>
          <w:sz w:val="20"/>
          <w:szCs w:val="20"/>
        </w:rPr>
        <w:t>Concentrations: Finance and Management</w:t>
      </w:r>
    </w:p>
    <w:p>
      <w:pPr>
        <w:pStyle w:val="Normal"/>
        <w:numPr>
          <w:ilvl w:val="0"/>
          <w:numId w:val="5"/>
        </w:numPr>
        <w:tabs>
          <w:tab w:val="clear" w:pos="720"/>
          <w:tab w:val="right" w:pos="9900" w:leader="none"/>
        </w:tabs>
        <w:ind w:hanging="360" w:start="360" w:end="-180"/>
        <w:jc w:val="both"/>
        <w:rPr>
          <w:sz w:val="20"/>
          <w:szCs w:val="20"/>
        </w:rPr>
      </w:pPr>
      <w:r>
        <w:rPr>
          <w:sz w:val="20"/>
          <w:szCs w:val="20"/>
        </w:rPr>
        <w:t>Board Member of the Freeman Ambassadors, May 2000 – May 2001.</w:t>
      </w:r>
    </w:p>
    <w:p>
      <w:pPr>
        <w:pStyle w:val="Normal"/>
        <w:numPr>
          <w:ilvl w:val="0"/>
          <w:numId w:val="2"/>
        </w:numPr>
        <w:tabs>
          <w:tab w:val="clear" w:pos="720"/>
          <w:tab w:val="right" w:pos="9900" w:leader="none"/>
        </w:tabs>
        <w:ind w:hanging="360" w:start="360" w:end="-180"/>
        <w:jc w:val="both"/>
        <w:rPr>
          <w:sz w:val="20"/>
          <w:szCs w:val="20"/>
        </w:rPr>
      </w:pPr>
      <w:r>
        <w:rPr>
          <w:sz w:val="20"/>
          <w:szCs w:val="20"/>
        </w:rPr>
        <w:t>Elected Secretary of the Graduate and Professional Student Association (GAPSA) at Tulane, Nov. 1999-March 2000.</w:t>
      </w:r>
    </w:p>
    <w:p>
      <w:pPr>
        <w:pStyle w:val="Normal"/>
        <w:tabs>
          <w:tab w:val="clear" w:pos="720"/>
          <w:tab w:val="right" w:pos="9900" w:leader="none"/>
        </w:tabs>
        <w:ind w:end="-180"/>
        <w:jc w:val="both"/>
        <w:rPr>
          <w:sz w:val="10"/>
          <w:szCs w:val="10"/>
        </w:rPr>
      </w:pPr>
      <w:r>
        <w:rPr>
          <w:sz w:val="10"/>
          <w:szCs w:val="10"/>
        </w:rPr>
      </w:r>
    </w:p>
    <w:p>
      <w:pPr>
        <w:pStyle w:val="Normal"/>
        <w:tabs>
          <w:tab w:val="clear" w:pos="720"/>
          <w:tab w:val="right" w:pos="9900" w:leader="none"/>
        </w:tabs>
        <w:ind w:end="-180"/>
        <w:jc w:val="both"/>
        <w:rPr>
          <w:sz w:val="10"/>
          <w:szCs w:val="10"/>
        </w:rPr>
      </w:pPr>
      <w:r>
        <w:rPr>
          <w:sz w:val="10"/>
          <w:szCs w:val="10"/>
        </w:rPr>
      </w:r>
    </w:p>
    <w:p>
      <w:pPr>
        <w:pStyle w:val="Heading2"/>
        <w:tabs>
          <w:tab w:val="clear" w:pos="720"/>
          <w:tab w:val="right" w:pos="9900" w:leader="none"/>
        </w:tabs>
        <w:ind w:hanging="0" w:start="0" w:end="-180"/>
        <w:jc w:val="both"/>
        <w:rPr/>
      </w:pPr>
      <w:r>
        <w:rPr/>
        <w:t>Instituto Tecnologico Autonomo de Mexico (ITAM)</w:t>
        <w:tab/>
        <w:t>Mexico City, Mexico</w:t>
      </w:r>
    </w:p>
    <w:p>
      <w:pPr>
        <w:pStyle w:val="Normal"/>
        <w:tabs>
          <w:tab w:val="clear" w:pos="720"/>
          <w:tab w:val="right" w:pos="9900" w:leader="none"/>
        </w:tabs>
        <w:ind w:end="-180"/>
        <w:jc w:val="both"/>
        <w:rPr>
          <w:sz w:val="20"/>
          <w:szCs w:val="20"/>
        </w:rPr>
      </w:pPr>
      <w:r>
        <w:rPr>
          <w:sz w:val="20"/>
          <w:szCs w:val="20"/>
        </w:rPr>
        <w:t>Bachelor of Science – Major: Economics</w:t>
        <w:tab/>
        <w:t xml:space="preserve"> </w:t>
      </w:r>
      <w:r>
        <w:rPr>
          <w:b/>
          <w:bCs/>
          <w:sz w:val="20"/>
          <w:szCs w:val="20"/>
        </w:rPr>
        <w:t>Dec. 1996</w:t>
      </w:r>
    </w:p>
    <w:p>
      <w:pPr>
        <w:pStyle w:val="Heading2"/>
        <w:tabs>
          <w:tab w:val="clear" w:pos="720"/>
          <w:tab w:val="right" w:pos="9900" w:leader="none"/>
        </w:tabs>
        <w:ind w:hanging="0" w:start="0" w:end="-180"/>
        <w:jc w:val="both"/>
        <w:rPr>
          <w:sz w:val="16"/>
          <w:szCs w:val="16"/>
        </w:rPr>
      </w:pPr>
      <w:r>
        <w:rPr>
          <w:sz w:val="16"/>
          <w:szCs w:val="16"/>
        </w:rPr>
      </w:r>
    </w:p>
    <w:p>
      <w:pPr>
        <w:pStyle w:val="Heading2"/>
        <w:tabs>
          <w:tab w:val="clear" w:pos="720"/>
          <w:tab w:val="right" w:pos="9900" w:leader="none"/>
        </w:tabs>
        <w:ind w:hanging="0" w:start="0" w:end="-180"/>
        <w:jc w:val="both"/>
        <w:rPr>
          <w:sz w:val="24"/>
          <w:szCs w:val="24"/>
        </w:rPr>
      </w:pPr>
      <w:r>
        <w:rPr>
          <w:sz w:val="24"/>
          <w:szCs w:val="24"/>
        </w:rPr>
        <w:t>SKILLS</w:t>
      </w:r>
    </w:p>
    <w:p>
      <w:pPr>
        <w:pStyle w:val="Normal"/>
        <w:tabs>
          <w:tab w:val="clear" w:pos="720"/>
          <w:tab w:val="right" w:pos="9900" w:leader="none"/>
        </w:tabs>
        <w:ind w:end="-180"/>
        <w:jc w:val="both"/>
        <w:rPr/>
      </w:pPr>
      <w:r>
        <w:rPr>
          <w:b/>
          <w:bCs/>
          <w:sz w:val="20"/>
          <w:szCs w:val="20"/>
        </w:rPr>
        <w:t>Computer</w:t>
      </w:r>
      <w:r>
        <w:rPr>
          <w:sz w:val="20"/>
          <w:szCs w:val="20"/>
        </w:rPr>
        <w:t>: Microsoft Word, Excel, PowerPoint, Access, and Bloomberg.</w:t>
      </w:r>
    </w:p>
    <w:p>
      <w:pPr>
        <w:pStyle w:val="Normal"/>
        <w:tabs>
          <w:tab w:val="clear" w:pos="720"/>
          <w:tab w:val="right" w:pos="9900" w:leader="none"/>
        </w:tabs>
        <w:ind w:end="-180"/>
        <w:jc w:val="both"/>
        <w:rPr/>
      </w:pPr>
      <w:r>
        <w:rPr>
          <w:b/>
          <w:bCs/>
          <w:sz w:val="20"/>
          <w:szCs w:val="20"/>
        </w:rPr>
        <w:t>Foreign</w:t>
      </w:r>
      <w:r>
        <w:rPr>
          <w:sz w:val="20"/>
          <w:szCs w:val="20"/>
        </w:rPr>
        <w:t xml:space="preserve"> </w:t>
      </w:r>
      <w:r>
        <w:rPr>
          <w:b/>
          <w:bCs/>
          <w:sz w:val="20"/>
          <w:szCs w:val="20"/>
        </w:rPr>
        <w:t>Languages</w:t>
      </w:r>
      <w:r>
        <w:rPr>
          <w:sz w:val="20"/>
          <w:szCs w:val="20"/>
        </w:rPr>
        <w:t>: Spanish (native), Portuguese (basic)</w:t>
      </w:r>
    </w:p>
    <w:p>
      <w:pPr>
        <w:pStyle w:val="Heading2"/>
        <w:tabs>
          <w:tab w:val="clear" w:pos="720"/>
          <w:tab w:val="right" w:pos="9900" w:leader="none"/>
        </w:tabs>
        <w:ind w:hanging="0" w:start="0" w:end="-180"/>
        <w:jc w:val="both"/>
        <w:rPr>
          <w:sz w:val="24"/>
          <w:szCs w:val="24"/>
        </w:rPr>
      </w:pPr>
      <w:r>
        <w:rPr>
          <w:sz w:val="24"/>
          <w:szCs w:val="24"/>
        </w:rPr>
      </w:r>
    </w:p>
    <w:sectPr>
      <w:type w:val="nextPage"/>
      <w:pgSz w:w="12240" w:h="15840"/>
      <w:pgMar w:left="1008" w:right="1008"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sz w:val="20"/>
      <w:szCs w:val="20"/>
    </w:rPr>
  </w:style>
  <w:style w:type="paragraph" w:styleId="Heading3">
    <w:name w:val="heading 3"/>
    <w:basedOn w:val="Normal"/>
    <w:next w:val="Normal"/>
    <w:qFormat/>
    <w:pPr>
      <w:keepNext w:val="true"/>
      <w:numPr>
        <w:ilvl w:val="2"/>
        <w:numId w:val="1"/>
      </w:numPr>
      <w:jc w:val="end"/>
      <w:outlineLvl w:val="2"/>
    </w:pPr>
    <w:rPr>
      <w:b/>
      <w:bCs/>
      <w:sz w:val="20"/>
      <w:szCs w:val="20"/>
    </w:rPr>
  </w:style>
  <w:style w:type="paragraph" w:styleId="Heading4">
    <w:name w:val="heading 4"/>
    <w:basedOn w:val="Normal"/>
    <w:next w:val="Normal"/>
    <w:qFormat/>
    <w:pPr>
      <w:keepNext w:val="true"/>
      <w:numPr>
        <w:ilvl w:val="3"/>
        <w:numId w:val="1"/>
      </w:numPr>
      <w:jc w:val="both"/>
      <w:outlineLvl w:val="3"/>
    </w:pPr>
    <w:rPr>
      <w:b/>
      <w:bCs/>
      <w:sz w:val="22"/>
      <w:szCs w:val="22"/>
    </w:rPr>
  </w:style>
  <w:style w:type="paragraph" w:styleId="Heading5">
    <w:name w:val="heading 5"/>
    <w:basedOn w:val="Normal"/>
    <w:next w:val="Normal"/>
    <w:qFormat/>
    <w:pPr>
      <w:keepNext w:val="true"/>
      <w:numPr>
        <w:ilvl w:val="4"/>
        <w:numId w:val="1"/>
      </w:numPr>
      <w:tabs>
        <w:tab w:val="clear" w:pos="720"/>
        <w:tab w:val="right" w:pos="9900" w:leader="none"/>
      </w:tabs>
      <w:ind w:hanging="0" w:start="0" w:end="-180"/>
      <w:jc w:val="both"/>
      <w:outlineLvl w:val="4"/>
    </w:pPr>
    <w:rPr>
      <w:b/>
      <w:bCs/>
    </w:rPr>
  </w:style>
  <w:style w:type="character" w:styleId="WW8Num1z0">
    <w:name w:val="WW8Num1z0"/>
    <w:qFormat/>
    <w:rPr>
      <w:rFonts w:ascii="Symbol" w:hAnsi="Symbol" w:cs="Times New Roman"/>
      <w:color w:val="000000"/>
      <w:sz w:val="16"/>
      <w:szCs w:val="16"/>
    </w:rPr>
  </w:style>
  <w:style w:type="character" w:styleId="WW8Num2z0">
    <w:name w:val="WW8Num2z0"/>
    <w:qFormat/>
    <w:rPr>
      <w:rFonts w:ascii="Symbol" w:hAnsi="Symbo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rFonts w:ascii="Symbol" w:hAnsi="Symbol" w:cs="Times New Roman"/>
    </w:rPr>
  </w:style>
  <w:style w:type="character" w:styleId="WW8Num4z0">
    <w:name w:val="WW8Num4z0"/>
    <w:qFormat/>
    <w:rPr>
      <w:rFonts w:ascii="Symbol" w:hAnsi="Symbol" w:cs="Times New Roman"/>
    </w:rPr>
  </w:style>
  <w:style w:type="character" w:styleId="WW8Num5z0">
    <w:name w:val="WW8Num5z0"/>
    <w:qFormat/>
    <w:rPr>
      <w:rFonts w:ascii="Symbol" w:hAnsi="Symbol"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9z0">
    <w:name w:val="WW8Num9z0"/>
    <w:qFormat/>
    <w:rPr>
      <w:rFonts w:ascii="Symbol" w:hAnsi="Symbol"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Times New Roman"/>
    </w:rPr>
  </w:style>
  <w:style w:type="character" w:styleId="WW8Num10z0">
    <w:name w:val="WW8Num10z0"/>
    <w:qFormat/>
    <w:rPr>
      <w:rFonts w:ascii="Symbol" w:hAnsi="Symbol" w:cs="Times New Roman"/>
      <w:color w:val="000000"/>
      <w:sz w:val="16"/>
      <w:szCs w:val="16"/>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rFonts w:ascii="Symbol" w:hAnsi="Symbol"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Times New Roman"/>
    </w:rPr>
  </w:style>
  <w:style w:type="character" w:styleId="WW8Num14z0">
    <w:name w:val="WW8Num14z0"/>
    <w:qFormat/>
    <w:rPr>
      <w:rFonts w:ascii="Symbol" w:hAnsi="Symbol" w:cs="Times New Roman"/>
    </w:rPr>
  </w:style>
  <w:style w:type="character" w:styleId="WW8Num15z0">
    <w:name w:val="WW8Num15z0"/>
    <w:qFormat/>
    <w:rPr>
      <w:rFonts w:ascii="Symbol" w:hAnsi="Symbol" w:cs="Times New Roman"/>
    </w:rPr>
  </w:style>
  <w:style w:type="character" w:styleId="WW8Num16z0">
    <w:name w:val="WW8Num16z0"/>
    <w:qFormat/>
    <w:rPr>
      <w:rFonts w:ascii="Symbol" w:hAnsi="Symbol" w:cs="Times New Roman"/>
    </w:rPr>
  </w:style>
  <w:style w:type="character" w:styleId="WW8Num17z0">
    <w:name w:val="WW8Num17z0"/>
    <w:qFormat/>
    <w:rPr>
      <w:rFonts w:ascii="Symbol" w:hAnsi="Symbol"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Times New Roman"/>
    </w:rPr>
  </w:style>
  <w:style w:type="character" w:styleId="WW8Num18z0">
    <w:name w:val="WW8Num18z0"/>
    <w:qFormat/>
    <w:rPr/>
  </w:style>
  <w:style w:type="character" w:styleId="WW8Num19z0">
    <w:name w:val="WW8Num19z0"/>
    <w:qFormat/>
    <w:rPr>
      <w:rFonts w:ascii="Symbol" w:hAnsi="Symbol" w:cs="Times New Roman"/>
    </w:rPr>
  </w:style>
  <w:style w:type="character" w:styleId="WW8Num20z0">
    <w:name w:val="WW8Num20z0"/>
    <w:qFormat/>
    <w:rPr>
      <w:rFonts w:ascii="Symbol" w:hAnsi="Symbol" w:cs="Times New Roman"/>
    </w:rPr>
  </w:style>
  <w:style w:type="character" w:styleId="WW8Num21z0">
    <w:name w:val="WW8Num21z0"/>
    <w:qFormat/>
    <w:rPr>
      <w:rFonts w:ascii="Symbol" w:hAnsi="Symbol"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Times New Roman"/>
    </w:rPr>
  </w:style>
  <w:style w:type="character" w:styleId="WW8Num22z0">
    <w:name w:val="WW8Num22z0"/>
    <w:qFormat/>
    <w:rPr>
      <w:rFonts w:ascii="Symbol" w:hAnsi="Symbol"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szCs w:val="32"/>
    </w:rPr>
  </w:style>
  <w:style w:type="paragraph" w:styleId="BodyText">
    <w:name w:val="Body Text"/>
    <w:basedOn w:val="Normal"/>
    <w:pPr>
      <w:tabs>
        <w:tab w:val="clear" w:pos="720"/>
        <w:tab w:val="right" w:pos="9900" w:leader="none"/>
      </w:tabs>
      <w:ind w:hanging="0" w:start="0" w:end="-180"/>
      <w:jc w:val="both"/>
    </w:pPr>
    <w:rPr>
      <w:b/>
      <w:bCs/>
      <w:sz w:val="21"/>
      <w:szCs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right" w:pos="9900" w:leader="none"/>
      </w:tabs>
      <w:ind w:hanging="0" w:start="0" w:end="238"/>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2001-10-25T10:47:00Z</dcterms:created>
  <dc:creator>William G. Gurrola</dc:creator>
  <dc:description/>
  <dc:language>en-CA</dc:language>
  <cp:lastModifiedBy>arichard</cp:lastModifiedBy>
  <cp:lastPrinted>2001-10-25T07:49:00Z</cp:lastPrinted>
  <dcterms:modified xsi:type="dcterms:W3CDTF">2001-10-25T10:47:00Z</dcterms:modified>
  <cp:revision>2</cp:revision>
  <dc:subject/>
  <dc:title>RESUME</dc:title>
</cp:coreProperties>
</file>