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ind w:hanging="0" w:start="0"/>
        <w:rPr>
          <w:rFonts w:ascii="Times New Roman" w:hAnsi="Times New Roman" w:cs="Times New Roman"/>
          <w:sz w:val="24"/>
        </w:rPr>
      </w:pPr>
      <w:r>
        <w:rPr>
          <w:rFonts w:cs="Times New Roman" w:ascii="Times New Roman" w:hAnsi="Times New Roman"/>
          <w:sz w:val="24"/>
        </w:rPr>
        <w:t>WILLIAM K. 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end"/>
        <w:rPr>
          <w:rFonts w:ascii="Times New Roman" w:hAnsi="Times New Roman" w:cs="Times New Roman"/>
          <w:b/>
          <w:sz w:val="22"/>
          <w:u w:val="single"/>
        </w:rPr>
      </w:pPr>
      <w:r>
        <w:rPr>
          <w:rFonts w:cs="Times New Roman" w:ascii="Times New Roman" w:hAnsi="Times New Roman"/>
          <w:b/>
          <w:sz w:val="22"/>
          <w:u w:val="single"/>
        </w:rPr>
        <w:t>_______________________________________________________________________________________________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jc w:val="end"/>
        <w:rPr>
          <w:rFonts w:ascii="Times New Roman" w:hAnsi="Times New Roman" w:cs="Times New Roman"/>
          <w:b/>
          <w:sz w:val="22"/>
        </w:rPr>
      </w:pPr>
      <w:r>
        <w:rPr>
          <w:rFonts w:cs="Times New Roman" w:ascii="Times New Roman" w:hAnsi="Times New Roman"/>
          <w:b/>
          <w:sz w:val="22"/>
        </w:rPr>
        <w:tab/>
        <w:tab/>
        <w:tab/>
        <w:tab/>
        <w:tab/>
        <w:tab/>
        <w:tab/>
        <w:tab/>
        <w:tab/>
      </w:r>
    </w:p>
    <w:p>
      <w:pPr>
        <w:pStyle w:val="Heading1"/>
        <w:ind w:hanging="0" w:start="0"/>
        <w:rPr>
          <w:rFonts w:ascii="Times New Roman" w:hAnsi="Times New Roman" w:cs="Times New Roman"/>
        </w:rPr>
      </w:pPr>
      <w:r>
        <w:rPr>
          <w:rFonts w:cs="Times New Roman" w:ascii="Times New Roman" w:hAnsi="Times New Roman"/>
        </w:rPr>
        <w:t>LEGAL</w:t>
      </w:r>
    </w:p>
    <w:p>
      <w:pPr>
        <w:pStyle w:val="Normal"/>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b/>
          <w:sz w:val="22"/>
        </w:rPr>
      </w:pPr>
      <w:r>
        <w:rPr>
          <w:rFonts w:cs="Times New Roman" w:ascii="Times New Roman" w:hAnsi="Times New Roman"/>
          <w:b/>
          <w:sz w:val="22"/>
        </w:rPr>
        <w:t>EXPERIENCE:</w:t>
        <w:tab/>
      </w:r>
    </w:p>
    <w:p>
      <w:pPr>
        <w:pStyle w:val="Normal"/>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b/>
          <w:sz w:val="16"/>
        </w:rPr>
      </w:pPr>
      <w:r>
        <w:rPr>
          <w:rFonts w:cs="Times New Roman" w:ascii="Times New Roman" w:hAnsi="Times New Roman"/>
          <w:b/>
          <w:sz w:val="16"/>
        </w:rPr>
      </w:r>
    </w:p>
    <w:p>
      <w:pPr>
        <w:pStyle w:val="Normal"/>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90" w:start="1890" w:end="0"/>
        <w:rPr/>
      </w:pPr>
      <w:r>
        <w:rPr>
          <w:rFonts w:cs="Times New Roman" w:ascii="Times New Roman" w:hAnsi="Times New Roman"/>
          <w:sz w:val="22"/>
        </w:rPr>
        <w:t>7/97 - Present</w:t>
        <w:tab/>
      </w:r>
      <w:r>
        <w:rPr>
          <w:rFonts w:cs="Times New Roman" w:ascii="Times New Roman" w:hAnsi="Times New Roman"/>
          <w:b/>
          <w:sz w:val="22"/>
        </w:rPr>
        <w:t>Metropolitan Life Insurance Company</w:t>
      </w:r>
      <w:r>
        <w:rPr>
          <w:rFonts w:cs="Times New Roman" w:ascii="Times New Roman" w:hAnsi="Times New Roman"/>
          <w:sz w:val="22"/>
        </w:rPr>
        <w:t>, New York, NY</w:t>
      </w:r>
    </w:p>
    <w:p>
      <w:pPr>
        <w:pStyle w:val="Normal"/>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90" w:start="1890" w:end="0"/>
        <w:rPr/>
      </w:pPr>
      <w:r>
        <w:rPr>
          <w:rFonts w:cs="Times New Roman" w:ascii="Times New Roman" w:hAnsi="Times New Roman"/>
          <w:sz w:val="22"/>
        </w:rPr>
        <w:tab/>
      </w:r>
      <w:r>
        <w:rPr>
          <w:rFonts w:cs="Times New Roman" w:ascii="Times New Roman" w:hAnsi="Times New Roman"/>
          <w:i/>
          <w:sz w:val="22"/>
        </w:rPr>
        <w:tab/>
      </w:r>
      <w:r>
        <w:rPr>
          <w:rFonts w:cs="Times New Roman" w:ascii="Times New Roman" w:hAnsi="Times New Roman"/>
          <w:b/>
          <w:i/>
          <w:sz w:val="22"/>
        </w:rPr>
        <w:t>Senior</w:t>
      </w:r>
      <w:r>
        <w:rPr>
          <w:rFonts w:cs="Times New Roman" w:ascii="Times New Roman" w:hAnsi="Times New Roman"/>
          <w:b/>
          <w:sz w:val="22"/>
        </w:rPr>
        <w:t xml:space="preserve"> </w:t>
      </w:r>
      <w:r>
        <w:rPr>
          <w:rFonts w:cs="Times New Roman" w:ascii="Times New Roman" w:hAnsi="Times New Roman"/>
          <w:b/>
          <w:i/>
          <w:sz w:val="22"/>
        </w:rPr>
        <w:t>Counsel</w:t>
      </w:r>
      <w:r>
        <w:rPr>
          <w:rFonts w:cs="Times New Roman" w:ascii="Times New Roman" w:hAnsi="Times New Roman"/>
          <w:sz w:val="22"/>
        </w:rPr>
        <w:t xml:space="preserve">, </w:t>
      </w:r>
      <w:r>
        <w:rPr>
          <w:rFonts w:cs="Times New Roman" w:ascii="Times New Roman" w:hAnsi="Times New Roman"/>
          <w:b/>
          <w:i/>
          <w:sz w:val="22"/>
        </w:rPr>
        <w:t>Securities Investment Section of Law Department</w:t>
      </w:r>
      <w:r>
        <w:rPr>
          <w:rFonts w:cs="Times New Roman" w:ascii="Times New Roman" w:hAnsi="Times New Roman"/>
          <w:sz w:val="22"/>
        </w:rPr>
        <w:t xml:space="preserve"> </w:t>
      </w:r>
    </w:p>
    <w:p>
      <w:pPr>
        <w:pStyle w:val="BodyTextIndent2"/>
        <w:rPr>
          <w:rFonts w:ascii="Times New Roman" w:hAnsi="Times New Roman" w:cs="Times New Roman"/>
        </w:rPr>
      </w:pPr>
      <w:r>
        <w:rPr>
          <w:rFonts w:cs="Times New Roman" w:ascii="Times New Roman" w:hAnsi="Times New Roman"/>
        </w:rPr>
        <w:tab/>
        <w:t>Counsel to fixed income, corporate equities and leveraged leasing groups with respect to various private placement debt and equity investments by the company and its subsidiaries.  Also advise funding subsidiaries with respect to general corporate and corporate finance matters.  Specific responsibilities include: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Review of Rule 144A debt offerings and negotiation of private placement debt documentation with emphasis on international and domestic project finance transactions involving power plants, toll roads, power transmission facilities, telecommunication facilities and other infrastructure works.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Review and negotiation of international and domestic private equity investments through institutional investment funds and coinvestment vehicles.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Structuring and negotiating Rule 144A collateralized debt obligation offerings on behalf of MetLife with respect to portfolios of fixed income securities and loan obligations.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Responsible for legal administration of leverage lease portfolio, including negotiation of lease renewals, early buy-outs and work-outs.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Review of investments in bank syndicated credit facilities in the high yield market.</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Negotiation and documentation of the sale and purchase of restricted securities in the secondary private placement market.</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Review and negotiation of term sheets, commitment letters and confidentiality agreements with respect to securities investments.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 xml:space="preserve">Structuring investment vehicles to achieve various legal and accounting objectives of clients. </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General advice with respect to U.S. securities laws, corporate governance of investment subsidiaries and administration of portfolio investments.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Preparation and negotiation of loan and preferred stock documentation between affiliates.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Review of foreign investment laws and advice with respect thereto.</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70" w:end="0"/>
        <w:rPr>
          <w:rFonts w:ascii="Times New Roman" w:hAnsi="Times New Roman" w:cs="Times New Roman"/>
          <w:sz w:val="16"/>
        </w:rPr>
      </w:pPr>
      <w:r>
        <w:rPr>
          <w:rFonts w:cs="Times New Roman" w:ascii="Times New Roman" w:hAnsi="Times New Roman"/>
          <w:sz w:val="16"/>
        </w:rPr>
      </w:r>
    </w:p>
    <w:p>
      <w:pPr>
        <w:pStyle w:val="Normal"/>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pPr>
      <w:r>
        <w:rPr>
          <w:rFonts w:cs="Times New Roman" w:ascii="Times New Roman" w:hAnsi="Times New Roman"/>
          <w:sz w:val="22"/>
        </w:rPr>
        <w:t>9/93 – 6/97</w:t>
      </w:r>
      <w:r>
        <w:rPr>
          <w:rFonts w:cs="Times New Roman" w:ascii="Times New Roman" w:hAnsi="Times New Roman"/>
          <w:b/>
          <w:sz w:val="22"/>
        </w:rPr>
        <w:tab/>
        <w:t>Chadbourne &amp; Parke, LLP</w:t>
      </w:r>
      <w:r>
        <w:rPr>
          <w:rFonts w:cs="Times New Roman" w:ascii="Times New Roman" w:hAnsi="Times New Roman"/>
          <w:sz w:val="22"/>
        </w:rPr>
        <w:t xml:space="preserve"> - New York, NY</w:t>
      </w:r>
    </w:p>
    <w:p>
      <w:pPr>
        <w:pStyle w:val="Normal"/>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b/>
      </w:r>
      <w:r>
        <w:rPr>
          <w:rFonts w:cs="Times New Roman" w:ascii="Times New Roman" w:hAnsi="Times New Roman"/>
          <w:b/>
          <w:i/>
          <w:sz w:val="22"/>
        </w:rPr>
        <w:t>Associate</w:t>
      </w:r>
    </w:p>
    <w:p>
      <w:pPr>
        <w:pStyle w:val="BodyTextIndent"/>
        <w:rPr>
          <w:rFonts w:ascii="Times New Roman" w:hAnsi="Times New Roman" w:cs="Times New Roman"/>
          <w:sz w:val="22"/>
        </w:rPr>
      </w:pPr>
      <w:r>
        <w:rPr>
          <w:rFonts w:cs="Times New Roman" w:ascii="Times New Roman" w:hAnsi="Times New Roman"/>
          <w:sz w:val="22"/>
        </w:rPr>
        <w:tab/>
        <w:t>Associate in the project finance and general corporate department working primarily on debt offerings.  Responsibilities included representing international lenders in the negotiation and preparation of credit documentation with respect to the financing of domestic and international power projects.  Additional experience in the negotiation and preparation of complex project contracts in connection with non-recourse project financings for independent power projects.  Specific transactions included:</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Hydroelectric power project in Chile involving a U.S. tranche and a local tranche and offshore and onshore system of disbursement accounts.</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$100 million waste-to-energy project in North Carolina in connection with possible foreclosure action and disposition of the project.</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Acquisition of an equity interest in a gas-fired power project in Turkey.</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Divestiture of a shareholder's interests in a power project under development in India.</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U.S. Eximbank financing of a power project expansion in Peru.</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Acquisition financing of two gas-fired power projects in New Jersey which emerged out of bankruptcy.</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 xml:space="preserve">$125 million senior secured bonds offering and a $297 million senior secured notes and bonds offering under Rule 144A. </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$800 million international public offering by NYNEX Corporation of stapled equity securities that were listed on NASDAQ and the London Stock Exchange.</w:t>
      </w:r>
    </w:p>
    <w:p>
      <w:pPr>
        <w:pStyle w:val="Heading1"/>
        <w:ind w:hanging="0" w:start="0"/>
        <w:rPr>
          <w:rFonts w:ascii="Times New Roman" w:hAnsi="Times New Roman" w:cs="Times New Roman"/>
          <w:b w:val="false"/>
          <w:sz w:val="22"/>
        </w:rPr>
      </w:pPr>
      <w:r>
        <w:rPr>
          <w:rFonts w:cs="Times New Roman" w:ascii="Times New Roman" w:hAnsi="Times New Roman"/>
          <w:b w:val="false"/>
          <w:sz w:val="22"/>
        </w:rPr>
      </w:r>
    </w:p>
    <w:p>
      <w:pPr>
        <w:pStyle w:val="Heading1"/>
        <w:ind w:hanging="0" w:start="0"/>
        <w:rPr/>
      </w:pPr>
      <w:r>
        <w:rPr>
          <w:rFonts w:cs="Times New Roman" w:ascii="Times New Roman" w:hAnsi="Times New Roman"/>
          <w:b w:val="false"/>
        </w:rPr>
        <w:t>Summer 1992</w:t>
      </w:r>
      <w:r>
        <w:rPr>
          <w:rFonts w:cs="Times New Roman" w:ascii="Times New Roman" w:hAnsi="Times New Roman"/>
        </w:rPr>
        <w:tab/>
        <w:t xml:space="preserve">       Sills Cummis Zuckerman Radin Tischman Epstein &amp; Gross, </w:t>
      </w:r>
      <w:r>
        <w:rPr>
          <w:rFonts w:cs="Times New Roman" w:ascii="Times New Roman" w:hAnsi="Times New Roman"/>
          <w:b w:val="false"/>
        </w:rPr>
        <w:t>Newark, NJ</w:t>
      </w:r>
    </w:p>
    <w:p>
      <w:pPr>
        <w:pStyle w:val="Normal"/>
        <w:rPr/>
      </w:pPr>
      <w:r>
        <w:rPr>
          <w:rFonts w:cs="Times New Roman" w:ascii="Times New Roman" w:hAnsi="Times New Roman"/>
          <w:sz w:val="22"/>
        </w:rPr>
        <w:tab/>
        <w:tab/>
        <w:t xml:space="preserve">       </w:t>
      </w:r>
      <w:r>
        <w:rPr>
          <w:rFonts w:cs="Times New Roman" w:ascii="Times New Roman" w:hAnsi="Times New Roman"/>
          <w:b/>
          <w:i/>
          <w:sz w:val="22"/>
        </w:rPr>
        <w:t xml:space="preserve">Summer Associate  (permanent offer extended) </w:t>
      </w:r>
      <w:r>
        <w:rPr>
          <w:rFonts w:cs="Times New Roman" w:ascii="Times New Roman" w:hAnsi="Times New Roman"/>
          <w:sz w:val="22"/>
        </w:rPr>
        <w:t xml:space="preserve">  </w:t>
        <w:tab/>
      </w:r>
    </w:p>
    <w:p>
      <w:pPr>
        <w:pStyle w:val="Heading1"/>
        <w:ind w:hanging="0" w:start="0"/>
        <w:rPr>
          <w:rFonts w:ascii="Times New Roman" w:hAnsi="Times New Roman" w:cs="Times New Roman"/>
          <w:sz w:val="22"/>
        </w:rPr>
      </w:pPr>
      <w:r>
        <w:rPr>
          <w:rFonts w:cs="Times New Roman" w:ascii="Times New Roman" w:hAnsi="Times New Roman"/>
          <w:sz w:val="22"/>
        </w:rPr>
      </w:r>
    </w:p>
    <w:p>
      <w:pPr>
        <w:pStyle w:val="Heading1"/>
        <w:ind w:hanging="0" w:start="0"/>
        <w:rPr>
          <w:rFonts w:ascii="Times New Roman" w:hAnsi="Times New Roman" w:cs="Times New Roman"/>
        </w:rPr>
      </w:pPr>
      <w:r>
        <w:rPr>
          <w:rFonts w:cs="Times New Roman" w:ascii="Times New Roman" w:hAnsi="Times New Roman"/>
        </w:rPr>
        <w:t>OTHER</w:t>
      </w:r>
    </w:p>
    <w:p>
      <w:pPr>
        <w:pStyle w:val="Normal"/>
        <w:tabs>
          <w:tab w:val="clear" w:pos="720"/>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pPr>
      <w:r>
        <w:rPr>
          <w:rFonts w:cs="Times New Roman" w:ascii="Times New Roman" w:hAnsi="Times New Roman"/>
          <w:b/>
          <w:sz w:val="22"/>
        </w:rPr>
        <w:t>EXPERIENCE:</w:t>
      </w:r>
      <w:r>
        <w:rPr>
          <w:rFonts w:cs="Times New Roman" w:ascii="Times New Roman" w:hAnsi="Times New Roman"/>
          <w:sz w:val="22"/>
        </w:rPr>
        <w:tab/>
      </w:r>
    </w:p>
    <w:p>
      <w:pPr>
        <w:pStyle w:val="Normal"/>
        <w:tabs>
          <w:tab w:val="clear" w:pos="720"/>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sz w:val="16"/>
        </w:rPr>
      </w:pPr>
      <w:r>
        <w:rPr>
          <w:rFonts w:cs="Times New Roman" w:ascii="Times New Roman" w:hAnsi="Times New Roman"/>
          <w:sz w:val="16"/>
        </w:rPr>
      </w:r>
    </w:p>
    <w:p>
      <w:pPr>
        <w:pStyle w:val="Normal"/>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pPr>
      <w:r>
        <w:rPr>
          <w:rFonts w:cs="Times New Roman" w:ascii="Times New Roman" w:hAnsi="Times New Roman"/>
          <w:sz w:val="22"/>
        </w:rPr>
        <w:t>6/86 – 8/93</w:t>
      </w:r>
      <w:r>
        <w:rPr>
          <w:rFonts w:cs="Times New Roman" w:ascii="Times New Roman" w:hAnsi="Times New Roman"/>
          <w:b/>
          <w:sz w:val="22"/>
        </w:rPr>
        <w:tab/>
        <w:t>NJ Dept. of Environmental Protection &amp; Energy,</w:t>
      </w:r>
      <w:r>
        <w:rPr>
          <w:rFonts w:cs="Times New Roman" w:ascii="Times New Roman" w:hAnsi="Times New Roman"/>
          <w:sz w:val="22"/>
        </w:rPr>
        <w:t xml:space="preserve"> Trenton, NJ</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pPr>
      <w:r>
        <w:rPr>
          <w:rFonts w:cs="Times New Roman" w:ascii="Times New Roman" w:hAnsi="Times New Roman"/>
          <w:b/>
          <w:i/>
          <w:sz w:val="22"/>
        </w:rPr>
        <w:t>Principal Engineer</w:t>
      </w:r>
      <w:r>
        <w:rPr>
          <w:rFonts w:cs="Times New Roman" w:ascii="Times New Roman" w:hAnsi="Times New Roman"/>
          <w:sz w:val="22"/>
        </w:rPr>
        <w:t xml:space="preserve">, 9/88 – 8/93  </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Reviewed as case manager long-term resource recovery contracts between private companies and local governments under a NJ administrative statute with emphasis on financial risk allocation.</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Acted as technical support to DAG's during rate case hearings on all aspects of engineering and environmental related matters.</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Performed legal research and wrote briefs/memoranda on utility regulatory matters.</w:t>
      </w:r>
    </w:p>
    <w:p>
      <w:pPr>
        <w:pStyle w:val="Normal"/>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pPr>
      <w:r>
        <w:rPr>
          <w:rFonts w:cs="Times New Roman" w:ascii="Times New Roman" w:hAnsi="Times New Roman"/>
          <w:b/>
          <w:i/>
          <w:sz w:val="22"/>
        </w:rPr>
        <w:tab/>
        <w:t>Assistant Engineer</w:t>
      </w:r>
      <w:r>
        <w:rPr>
          <w:rFonts w:cs="Times New Roman" w:ascii="Times New Roman" w:hAnsi="Times New Roman"/>
          <w:sz w:val="22"/>
        </w:rPr>
        <w:t>, 6/86 – 9/88</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Performed engineering and financial review of landfill construction projects and landfill closure applications.</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b/>
        <w:t>Monitored closed landfills for compliance with closure requirements.</w:t>
      </w:r>
    </w:p>
    <w:p>
      <w:pPr>
        <w:pStyle w:val="Normal"/>
        <w:tabs>
          <w:tab w:val="clear" w:pos="720"/>
          <w:tab w:val="left" w:pos="20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0" w:start="2060" w:end="0"/>
        <w:rPr>
          <w:rFonts w:ascii="Times New Roman" w:hAnsi="Times New Roman" w:cs="Times New Roman"/>
          <w:sz w:val="22"/>
        </w:rPr>
      </w:pPr>
      <w:r>
        <w:rPr>
          <w:rFonts w:cs="Times New Roman" w:ascii="Times New Roman" w:hAnsi="Times New Roman"/>
          <w:sz w:val="22"/>
        </w:rPr>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pPr>
      <w:r>
        <w:rPr>
          <w:rFonts w:cs="Times New Roman" w:ascii="Times New Roman" w:hAnsi="Times New Roman"/>
          <w:b/>
          <w:sz w:val="22"/>
        </w:rPr>
        <w:t>EDUCATION:</w:t>
      </w:r>
      <w:r>
        <w:rPr>
          <w:rFonts w:cs="Times New Roman" w:ascii="Times New Roman" w:hAnsi="Times New Roman"/>
          <w:sz w:val="22"/>
        </w:rPr>
        <w:tab/>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sz w:val="16"/>
        </w:rPr>
      </w:pPr>
      <w:r>
        <w:rPr>
          <w:rFonts w:cs="Times New Roman" w:ascii="Times New Roman" w:hAnsi="Times New Roman"/>
          <w:sz w:val="16"/>
        </w:rPr>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pPr>
      <w:r>
        <w:rPr>
          <w:rFonts w:cs="Times New Roman" w:ascii="Times New Roman" w:hAnsi="Times New Roman"/>
          <w:sz w:val="22"/>
        </w:rPr>
        <w:t>6/93</w:t>
        <w:tab/>
      </w:r>
      <w:r>
        <w:rPr>
          <w:rFonts w:cs="Times New Roman" w:ascii="Times New Roman" w:hAnsi="Times New Roman"/>
          <w:b/>
          <w:sz w:val="22"/>
        </w:rPr>
        <w:t>Rutgers University School of Law,</w:t>
      </w:r>
      <w:r>
        <w:rPr>
          <w:rFonts w:cs="Times New Roman" w:ascii="Times New Roman" w:hAnsi="Times New Roman"/>
          <w:sz w:val="22"/>
        </w:rPr>
        <w:t xml:space="preserve"> Newark, NJ</w:t>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pPr>
      <w:r>
        <w:rPr>
          <w:rFonts w:cs="Times New Roman" w:ascii="Times New Roman" w:hAnsi="Times New Roman"/>
          <w:sz w:val="22"/>
        </w:rPr>
        <w:tab/>
      </w:r>
      <w:r>
        <w:rPr>
          <w:rFonts w:cs="Times New Roman" w:ascii="Times New Roman" w:hAnsi="Times New Roman"/>
          <w:i/>
          <w:sz w:val="22"/>
        </w:rPr>
        <w:t>J.D.</w:t>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sz w:val="22"/>
        </w:rPr>
      </w:pPr>
      <w:r>
        <w:rPr>
          <w:rFonts w:cs="Times New Roman" w:ascii="Times New Roman" w:hAnsi="Times New Roman"/>
          <w:sz w:val="22"/>
        </w:rPr>
        <w:tab/>
        <w:t>3.55 G.P.A. (Top 15% of class)</w:t>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sz w:val="22"/>
        </w:rPr>
      </w:pPr>
      <w:r>
        <w:rPr>
          <w:rFonts w:cs="Times New Roman" w:ascii="Times New Roman" w:hAnsi="Times New Roman"/>
          <w:sz w:val="22"/>
        </w:rPr>
        <w:tab/>
        <w:t>Honors:  Chief Justice Richard J. Hughes Prize</w:t>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sz w:val="16"/>
        </w:rPr>
      </w:pPr>
      <w:r>
        <w:rPr>
          <w:rFonts w:cs="Times New Roman" w:ascii="Times New Roman" w:hAnsi="Times New Roman"/>
          <w:sz w:val="16"/>
        </w:rPr>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pPr>
      <w:r>
        <w:rPr>
          <w:rFonts w:cs="Times New Roman" w:ascii="Times New Roman" w:hAnsi="Times New Roman"/>
          <w:sz w:val="22"/>
        </w:rPr>
        <w:t>6/86</w:t>
        <w:tab/>
      </w:r>
      <w:r>
        <w:rPr>
          <w:rFonts w:cs="Times New Roman" w:ascii="Times New Roman" w:hAnsi="Times New Roman"/>
          <w:b/>
          <w:sz w:val="22"/>
        </w:rPr>
        <w:t>The Cooper Union,</w:t>
      </w:r>
      <w:r>
        <w:rPr>
          <w:rFonts w:cs="Times New Roman" w:ascii="Times New Roman" w:hAnsi="Times New Roman"/>
          <w:sz w:val="22"/>
        </w:rPr>
        <w:t xml:space="preserve"> New York, NY</w:t>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pPr>
      <w:r>
        <w:rPr>
          <w:rFonts w:cs="Times New Roman" w:ascii="Times New Roman" w:hAnsi="Times New Roman"/>
          <w:sz w:val="22"/>
        </w:rPr>
        <w:tab/>
      </w:r>
      <w:r>
        <w:rPr>
          <w:rFonts w:cs="Times New Roman" w:ascii="Times New Roman" w:hAnsi="Times New Roman"/>
          <w:i/>
          <w:sz w:val="22"/>
        </w:rPr>
        <w:t>Bachelor of Chemical Engineering</w:t>
      </w:r>
    </w:p>
    <w:p>
      <w:pPr>
        <w:pStyle w:val="Normal"/>
        <w:tabs>
          <w:tab w:val="clear" w:pos="720"/>
          <w:tab w:val="left" w:pos="1880" w:leader="none"/>
          <w:tab w:val="left" w:pos="2160" w:leader="none"/>
          <w:tab w:val="left" w:pos="24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i/>
          <w:i/>
          <w:sz w:val="22"/>
        </w:rPr>
      </w:pPr>
      <w:r>
        <w:rPr>
          <w:rFonts w:cs="Times New Roman" w:ascii="Times New Roman" w:hAnsi="Times New Roman"/>
          <w:i/>
          <w:sz w:val="22"/>
        </w:rPr>
      </w:r>
    </w:p>
    <w:p>
      <w:pPr>
        <w:pStyle w:val="Normal"/>
        <w:tabs>
          <w:tab w:val="clear" w:pos="720"/>
          <w:tab w:val="left" w:pos="1880" w:leader="none"/>
          <w:tab w:val="left" w:pos="2160" w:leader="none"/>
          <w:tab w:val="left" w:pos="242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rPr>
          <w:rFonts w:ascii="Times New Roman" w:hAnsi="Times New Roman" w:cs="Times New Roman"/>
          <w:b/>
          <w:sz w:val="22"/>
        </w:rPr>
      </w:pPr>
      <w:r>
        <w:rPr>
          <w:rFonts w:cs="Times New Roman" w:ascii="Times New Roman" w:hAnsi="Times New Roman"/>
          <w:b/>
          <w:sz w:val="22"/>
        </w:rPr>
        <w:t>ACTIVITIES &amp;</w:t>
      </w:r>
    </w:p>
    <w:p>
      <w:pPr>
        <w:pStyle w:val="Normal"/>
        <w:tabs>
          <w:tab w:val="clear" w:pos="720"/>
          <w:tab w:val="left" w:pos="1880" w:leader="none"/>
          <w:tab w:val="left" w:pos="2160" w:leader="none"/>
          <w:tab w:val="left" w:pos="242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80" w:start="1880" w:end="0"/>
        <w:rPr>
          <w:rFonts w:ascii="Times New Roman" w:hAnsi="Times New Roman" w:cs="Times New Roman"/>
          <w:b/>
          <w:sz w:val="22"/>
        </w:rPr>
      </w:pPr>
      <w:r>
        <w:rPr>
          <w:rFonts w:cs="Times New Roman" w:ascii="Times New Roman" w:hAnsi="Times New Roman"/>
          <w:b/>
          <w:sz w:val="22"/>
        </w:rPr>
        <w:t>INTERESTS:</w:t>
      </w:r>
    </w:p>
    <w:p>
      <w:pPr>
        <w:pStyle w:val="Normal"/>
        <w:tabs>
          <w:tab w:val="clear" w:pos="720"/>
          <w:tab w:val="left" w:pos="1880" w:leader="none"/>
          <w:tab w:val="left" w:pos="2160" w:leader="none"/>
          <w:tab w:val="left" w:pos="242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80" w:start="1880" w:end="0"/>
        <w:rPr>
          <w:rFonts w:ascii="Times New Roman" w:hAnsi="Times New Roman" w:cs="Times New Roman"/>
          <w:b/>
          <w:sz w:val="16"/>
        </w:rPr>
      </w:pPr>
      <w:r>
        <w:rPr>
          <w:rFonts w:cs="Times New Roman" w:ascii="Times New Roman" w:hAnsi="Times New Roman"/>
          <w:b/>
          <w:sz w:val="16"/>
        </w:rPr>
        <w:tab/>
      </w:r>
    </w:p>
    <w:p>
      <w:pPr>
        <w:pStyle w:val="Normal"/>
        <w:tabs>
          <w:tab w:val="clear" w:pos="720"/>
          <w:tab w:val="left" w:pos="1880" w:leader="none"/>
          <w:tab w:val="left" w:pos="2160" w:leader="none"/>
          <w:tab w:val="left" w:pos="242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80" w:start="1880" w:end="0"/>
        <w:rPr/>
      </w:pPr>
      <w:r>
        <w:rPr>
          <w:rFonts w:cs="Times New Roman" w:ascii="Times New Roman" w:hAnsi="Times New Roman"/>
          <w:b/>
          <w:sz w:val="22"/>
        </w:rPr>
        <w:tab/>
      </w:r>
      <w:r>
        <w:rPr>
          <w:rFonts w:cs="Times New Roman" w:ascii="Times New Roman" w:hAnsi="Times New Roman"/>
          <w:sz w:val="22"/>
        </w:rPr>
        <w:t>American Bar Association member</w:t>
      </w:r>
    </w:p>
    <w:p>
      <w:pPr>
        <w:pStyle w:val="Normal"/>
        <w:tabs>
          <w:tab w:val="clear" w:pos="720"/>
          <w:tab w:val="left" w:pos="1880" w:leader="none"/>
          <w:tab w:val="left" w:pos="2160" w:leader="none"/>
          <w:tab w:val="left" w:pos="242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80" w:start="1880" w:end="0"/>
        <w:rPr>
          <w:rFonts w:ascii="Times New Roman" w:hAnsi="Times New Roman" w:cs="Times New Roman"/>
          <w:sz w:val="22"/>
        </w:rPr>
      </w:pPr>
      <w:r>
        <w:rPr>
          <w:rFonts w:cs="Times New Roman" w:ascii="Times New Roman" w:hAnsi="Times New Roman"/>
          <w:sz w:val="22"/>
        </w:rPr>
        <w:tab/>
        <w:t>Asian Pacific American Lawyers Association of New Jersey member</w:t>
      </w:r>
    </w:p>
    <w:p>
      <w:pPr>
        <w:pStyle w:val="Normal"/>
        <w:tabs>
          <w:tab w:val="clear" w:pos="720"/>
          <w:tab w:val="left" w:pos="1880" w:leader="none"/>
          <w:tab w:val="left" w:pos="2160" w:leader="none"/>
          <w:tab w:val="left" w:pos="242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80" w:start="1880" w:end="0"/>
        <w:rPr>
          <w:rFonts w:ascii="Times New Roman" w:hAnsi="Times New Roman" w:cs="Times New Roman"/>
          <w:sz w:val="22"/>
        </w:rPr>
      </w:pPr>
      <w:r>
        <w:rPr>
          <w:rFonts w:cs="Times New Roman" w:ascii="Times New Roman" w:hAnsi="Times New Roman"/>
          <w:sz w:val="22"/>
        </w:rPr>
        <w:tab/>
        <w:t>Golf, basketball, technology buff</w:t>
        <w:tab/>
      </w:r>
    </w:p>
    <w:p>
      <w:pPr>
        <w:pStyle w:val="Normal"/>
        <w:tabs>
          <w:tab w:val="clear" w:pos="720"/>
          <w:tab w:val="left" w:pos="1880" w:leader="none"/>
          <w:tab w:val="left" w:pos="2160" w:leader="none"/>
          <w:tab w:val="left" w:pos="242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80" w:start="1880" w:end="0"/>
        <w:rPr>
          <w:rFonts w:ascii="Times New Roman" w:hAnsi="Times New Roman" w:cs="Times New Roman"/>
          <w:sz w:val="22"/>
        </w:rPr>
      </w:pPr>
      <w:r>
        <w:rPr>
          <w:rFonts w:cs="Times New Roman" w:ascii="Times New Roman" w:hAnsi="Times New Roman"/>
          <w:sz w:val="22"/>
        </w:rPr>
      </w:r>
    </w:p>
    <w:p>
      <w:pPr>
        <w:pStyle w:val="Normal"/>
        <w:tabs>
          <w:tab w:val="clear" w:pos="720"/>
          <w:tab w:val="left" w:pos="1880" w:leader="none"/>
          <w:tab w:val="left" w:pos="2160" w:leader="none"/>
          <w:tab w:val="left" w:pos="2420" w:leader="none"/>
          <w:tab w:val="left" w:pos="37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80" w:start="1880" w:end="0"/>
        <w:rPr/>
      </w:pPr>
      <w:r>
        <w:rPr>
          <w:rFonts w:cs="Times New Roman" w:ascii="Times New Roman" w:hAnsi="Times New Roman"/>
          <w:b/>
          <w:sz w:val="22"/>
        </w:rPr>
        <w:t>E-Mail:</w:t>
      </w:r>
      <w:r>
        <w:rPr>
          <w:rFonts w:cs="Times New Roman" w:ascii="Times New Roman" w:hAnsi="Times New Roman"/>
          <w:sz w:val="22"/>
        </w:rPr>
        <w:tab/>
        <w:t>william_ding@hotmail.com</w:t>
      </w:r>
    </w:p>
    <w:sectPr>
      <w:headerReference w:type="default" r:id="rId2"/>
      <w:headerReference w:type="first" r:id="rId3"/>
      <w:footerReference w:type="default" r:id="rId4"/>
      <w:footerReference w:type="first" r:id="rId5"/>
      <w:type w:val="nextPage"/>
      <w:pgSz w:w="12240" w:h="15840"/>
      <w:pgMar w:left="864" w:right="864" w:gutter="0" w:header="0" w:top="1440" w:footer="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5240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52400"/>
                      </a:xfrm>
                      <a:prstGeom prst="rect"/>
                      <a:solidFill>
                        <a:srgbClr val="FFFFFF">
                          <a:alpha val="0"/>
                        </a:srgbClr>
                      </a:solidFill>
                    </wps:spPr>
                    <wps:txbx>
                      <w:txbxContent>
                        <w:p>
                          <w:pPr>
                            <w:pStyle w:val="Footer"/>
                            <w:rPr>
                              <w:rStyle w:val="PageNumber"/>
                              <w:rFonts w:ascii="Times New Roman" w:hAnsi="Times New Roman" w:cs="Times New Roman"/>
                            </w:rPr>
                          </w:pPr>
                          <w:r>
                            <w:rPr/>
                          </w:r>
                        </w:p>
                      </w:txbxContent>
                    </wps:txbx>
                    <wps:bodyPr anchor="t" lIns="0" tIns="0" rIns="0" bIns="0">
                      <a:noAutofit/>
                    </wps:bodyPr>
                  </wps:wsp>
                </a:graphicData>
              </a:graphic>
            </wp:anchor>
          </w:drawing>
        </mc:Choice>
        <mc:Fallback>
          <w:pict>
            <v:rect fillcolor="#FFFFFF" style="position:absolute;rotation:-0;width:1.15pt;height:12pt;mso-wrap-distance-left:0pt;mso-wrap-distance-right:0pt;mso-wrap-distance-top:0pt;mso-wrap-distance-bottom:0pt;margin-top:0.05pt;mso-position-vertical-relative:text;margin-left:262.25pt;mso-position-horizontal:center;mso-position-horizontal-relative:margin">
              <v:fill opacity="0f"/>
              <v:textbox inset="0in,0in,0in,0in">
                <w:txbxContent>
                  <w:p>
                    <w:pPr>
                      <w:pStyle w:val="Footer"/>
                      <w:rPr>
                        <w:rStyle w:val="PageNumber"/>
                        <w:rFonts w:ascii="Times New Roman" w:hAnsi="Times New Roman" w:cs="Times New Roman"/>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z w:val="16"/>
      </w:rPr>
    </w:pPr>
    <w:r>
      <w:rPr>
        <w:rFonts w:cs="Times New Roman" w:ascii="Times New Roman" w:hAnsi="Times New Roman"/>
        <w:b/>
      </w:rPr>
      <w:t xml:space="preserve">Associated Counsel </w:t>
    </w:r>
    <w:r>
      <w:rPr>
        <w:rFonts w:cs="Times New Roman" w:ascii="Times New Roman" w:hAnsi="Times New Roman"/>
        <w:b/>
        <w:i/>
      </w:rPr>
      <w:t xml:space="preserve">of </w:t>
    </w:r>
    <w:r>
      <w:rPr>
        <w:rFonts w:cs="Times New Roman" w:ascii="Times New Roman" w:hAnsi="Times New Roman"/>
        <w:b/>
      </w:rPr>
      <w:t>America</w:t>
    </w:r>
    <w:r>
      <w:rPr>
        <w:rFonts w:cs="Times New Roman" w:ascii="Times New Roman" w:hAnsi="Times New Roman"/>
        <w:sz w:val="16"/>
        <w:vertAlign w:val="superscript"/>
      </w:rPr>
      <w:t>®</w:t>
    </w:r>
  </w:p>
  <w:p>
    <w:pPr>
      <w:pStyle w:val="Normal"/>
      <w:jc w:val="center"/>
      <w:rPr>
        <w:rFonts w:ascii="Times New Roman" w:hAnsi="Times New Roman" w:cs="Times New Roman"/>
        <w:sz w:val="16"/>
      </w:rPr>
    </w:pPr>
    <w:r>
      <w:rPr>
        <w:rFonts w:cs="Times New Roman" w:ascii="Times New Roman" w:hAnsi="Times New Roman"/>
        <w:sz w:val="16"/>
      </w:rPr>
      <w:t>Phone: 713-840-7100       Fax: 713-840-7172</w:t>
    </w:r>
  </w:p>
  <w:p>
    <w:pPr>
      <w:pStyle w:val="Footer"/>
      <w:jc w:val="center"/>
      <w:rPr>
        <w:rFonts w:ascii="Times New Roman" w:hAnsi="Times New Roman" w:cs="Times New Roman"/>
        <w:b/>
        <w:smallCaps/>
      </w:rPr>
    </w:pPr>
    <w:r>
      <w:rPr>
        <w:rFonts w:cs="Times New Roman" w:ascii="Times New Roman" w:hAnsi="Times New Roman"/>
        <w:b/>
        <w:smallCaps/>
      </w:rPr>
      <w:t>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ing1"/>
      <w:tabs>
        <w:tab w:val="clear" w:pos="720"/>
        <w:tab w:val="clear" w:pos="144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Times New Roman" w:hAnsi="Times New Roman" w:cs="Times New Roman"/>
      </w:rPr>
    </w:pPr>
    <w:r>
      <w:rPr>
        <w:rFonts w:cs="Times New Roman" w:ascii="Times New Roman" w:hAnsi="Times New Roman"/>
      </w:rPr>
      <w:t>William K. Ding</w:t>
      <w:tab/>
      <w:tab/>
      <w:t xml:space="preserve">       </w:t>
      <w:tab/>
      <w:tab/>
      <w:tab/>
      <w:tab/>
      <w:tab/>
      <w:tab/>
      <w:tab/>
      <w:tab/>
      <w:t xml:space="preserve">    </w:t>
      <w:tab/>
      <w:tab/>
      <w:t xml:space="preserve">         Page 2</w:t>
    </w:r>
  </w:p>
  <w:p>
    <w:pPr>
      <w:pStyle w:val="Header"/>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ooterID" w:val="F100000P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lineRule="atLeast" w:line="240"/>
    </w:pPr>
    <w:rPr>
      <w:rFonts w:ascii="Courier" w:hAnsi="Courier" w:eastAsia="Times New Roman" w:cs="Courier"/>
      <w:color w:val="000000"/>
      <w:sz w:val="20"/>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outlineLvl w:val="0"/>
    </w:pPr>
    <w:rPr>
      <w:b/>
      <w:bCs/>
      <w:sz w:val="22"/>
      <w:szCs w:val="22"/>
    </w:rPr>
  </w:style>
  <w:style w:type="paragraph" w:styleId="Heading2">
    <w:name w:val="heading 2"/>
    <w:basedOn w:val="Normal"/>
    <w:next w:val="Normal"/>
    <w:qFormat/>
    <w:pPr>
      <w:keepNext w:val="true"/>
      <w:numPr>
        <w:ilvl w:val="1"/>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40"/>
      <w:jc w:val="end"/>
      <w:outlineLvl w:val="1"/>
    </w:pPr>
    <w:rPr>
      <w:b/>
      <w:bCs/>
      <w:sz w:val="22"/>
      <w:szCs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PMatter">
    <w:name w:val="CPMatter"/>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pPr>
    <w:rPr>
      <w:b/>
      <w:bCs/>
      <w:szCs w:val="20"/>
      <w:u w:val="single"/>
    </w:rPr>
  </w:style>
  <w:style w:type="paragraph" w:styleId="PCDOCSfooter">
    <w:name w:val="PCDOCSfooter"/>
    <w:basedOn w:val="CPMatter"/>
    <w:qFormat/>
    <w:pPr/>
    <w:rPr>
      <w:b w:val="false"/>
      <w:bCs w:val="false"/>
      <w:sz w:val="14"/>
      <w:szCs w:val="14"/>
      <w:u w:val="none"/>
    </w:rPr>
  </w:style>
  <w:style w:type="paragraph" w:styleId="PCDOCSFirstfooter">
    <w:name w:val="PCDOCSFirstfooter"/>
    <w:basedOn w:val="PCDOCSfooter"/>
    <w:qFormat/>
    <w:pPr/>
    <w:rPr>
      <w:b/>
      <w:bCs/>
      <w:sz w:val="20"/>
      <w:szCs w:val="20"/>
    </w:rPr>
  </w:style>
  <w:style w:type="paragraph" w:styleId="PCDOCSLastFooter">
    <w:name w:val="PCDOCSLastFooter"/>
    <w:basedOn w:val="PCDOCSfooter"/>
    <w:qFormat/>
    <w:pPr>
      <w:spacing w:before="0" w:after="360"/>
    </w:pPr>
    <w:rPr>
      <w:b/>
      <w:bCs/>
      <w:color w:val="FFFFF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90" w:start="1890" w:end="0"/>
    </w:pPr>
    <w:rPr/>
  </w:style>
  <w:style w:type="paragraph" w:styleId="BodyTextIndent2">
    <w:name w:val="Body Text Indent 2"/>
    <w:basedOn w:val="Normal"/>
    <w:qFormat/>
    <w:pPr>
      <w:tabs>
        <w:tab w:val="clear" w:pos="720"/>
        <w:tab w:val="left" w:pos="18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200"/>
      <w:ind w:hanging="1890" w:start="1890" w:end="0"/>
    </w:pPr>
    <w:rPr>
      <w:sz w:val="22"/>
      <w:szCs w:val="22"/>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256" w:leader="none"/>
        <w:tab w:val="right" w:pos="1051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2001-01-05T12:23:00Z</dcterms:created>
  <dc:creator>WDING</dc:creator>
  <dc:description/>
  <cp:keywords>09992/300</cp:keywords>
  <dc:language>en-CA</dc:language>
  <cp:lastModifiedBy>shawngrady</cp:lastModifiedBy>
  <cp:lastPrinted>2000-06-14T12:17:00Z</cp:lastPrinted>
  <dcterms:modified xsi:type="dcterms:W3CDTF">2001-01-05T12:23:00Z</dcterms:modified>
  <cp:revision>2</cp:revision>
  <dc:subject/>
  <dc:title>Res</dc:title>
</cp:coreProperties>
</file>