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-62865</wp:posOffset>
                </wp:positionH>
                <wp:positionV relativeFrom="paragraph">
                  <wp:posOffset>-317500</wp:posOffset>
                </wp:positionV>
                <wp:extent cx="2743200" cy="571500"/>
                <wp:effectExtent l="0" t="0" r="0" b="0"/>
                <wp:wrapNone/>
                <wp:docPr id="1" name="Frame2"/>
                <a:graphic xmlns:a="http://schemas.openxmlformats.org/drawingml/2006/main">
                  <a:graphicData uri="http://schemas.microsoft.com/office/word/2010/wordprocessingShape">
                    <wps:wsp>
                      <wps:cNvSpPr txBox="1"/>
                      <wps:spPr>
                        <a:xfrm>
                          <a:off x="0" y="0"/>
                          <a:ext cx="2743200" cy="571500"/>
                        </a:xfrm>
                        <a:prstGeom prst="rect"/>
                        <a:solidFill>
                          <a:srgbClr val="FFFFFF"/>
                        </a:solidFill>
                      </wps:spPr>
                      <wps:txbx>
                        <w:txbxContent>
                          <w:p>
                            <w:pPr>
                              <w:pStyle w:val="BodyText"/>
                              <w:rPr/>
                            </w:pPr>
                            <w:r>
                              <w:rPr/>
                              <w:t>Crescendo Energy, LLC</w:t>
                            </w:r>
                          </w:p>
                        </w:txbxContent>
                      </wps:txbx>
                      <wps:bodyPr anchor="t" lIns="92075" tIns="46355" rIns="92075" bIns="46355">
                        <a:noAutofit/>
                      </wps:bodyPr>
                    </wps:wsp>
                  </a:graphicData>
                </a:graphic>
              </wp:anchor>
            </w:drawing>
          </mc:Choice>
          <mc:Fallback>
            <w:pict>
              <v:rect fillcolor="#FFFFFF" style="position:absolute;rotation:-0;width:216pt;height:45pt;mso-wrap-distance-left:9.05pt;mso-wrap-distance-right:9.05pt;mso-wrap-distance-top:0pt;mso-wrap-distance-bottom:0pt;margin-top:-25pt;mso-position-vertical-relative:text;margin-left:-4.95pt;mso-position-horizontal-relative:text">
                <v:textbox inset="0.100694444444444in,0.0506944444444444in,0.100694444444444in,0.0506944444444444in">
                  <w:txbxContent>
                    <w:p>
                      <w:pPr>
                        <w:pStyle w:val="BodyText"/>
                        <w:rPr/>
                      </w:pPr>
                      <w:r>
                        <w:rPr/>
                        <w:t>Crescendo Energy, LLC</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-62865</wp:posOffset>
                </wp:positionH>
                <wp:positionV relativeFrom="paragraph">
                  <wp:posOffset>25400</wp:posOffset>
                </wp:positionV>
                <wp:extent cx="2743200" cy="685800"/>
                <wp:effectExtent l="0" t="0" r="0" b="0"/>
                <wp:wrapNone/>
                <wp:docPr id="2" name="Frame1"/>
                <a:graphic xmlns:a="http://schemas.openxmlformats.org/drawingml/2006/main">
                  <a:graphicData uri="http://schemas.microsoft.com/office/word/2010/wordprocessingShape">
                    <wps:wsp>
                      <wps:cNvSpPr txBox="1"/>
                      <wps:spPr>
                        <a:xfrm>
                          <a:off x="0" y="0"/>
                          <a:ext cx="2743200" cy="685800"/>
                        </a:xfrm>
                        <a:prstGeom prst="rect"/>
                        <a:solidFill>
                          <a:srgbClr val="FFFFFF"/>
                        </a:solidFill>
                      </wps:spPr>
                      <wps:txbx>
                        <w:txbxContent>
                          <w:p>
                            <w:pPr>
                              <w:pStyle w:val="BodyText"/>
                              <w:rPr>
                                <w:b w:val="false"/>
                                <w:bCs w:val="false"/>
                                <w:sz w:val="16"/>
                              </w:rPr>
                            </w:pPr>
                            <w:r>
                              <w:rPr>
                                <w:b w:val="false"/>
                                <w:bCs w:val="false"/>
                                <w:sz w:val="16"/>
                              </w:rPr>
                              <w:t>1031 Andrews Highway, Suite 211</w:t>
                            </w:r>
                          </w:p>
                          <w:p>
                            <w:pPr>
                              <w:pStyle w:val="BodyText"/>
                              <w:rPr>
                                <w:b w:val="false"/>
                                <w:bCs w:val="false"/>
                                <w:sz w:val="16"/>
                              </w:rPr>
                            </w:pPr>
                            <w:r>
                              <w:rPr>
                                <w:b w:val="false"/>
                                <w:bCs w:val="false"/>
                                <w:sz w:val="16"/>
                              </w:rPr>
                              <w:t>PO Box 1814 (79702)</w:t>
                            </w:r>
                          </w:p>
                          <w:p>
                            <w:pPr>
                              <w:pStyle w:val="BodyText"/>
                              <w:rPr>
                                <w:b w:val="false"/>
                                <w:bCs w:val="false"/>
                                <w:sz w:val="16"/>
                              </w:rPr>
                            </w:pPr>
                            <w:r>
                              <w:rPr>
                                <w:b w:val="false"/>
                                <w:bCs w:val="false"/>
                                <w:sz w:val="16"/>
                              </w:rPr>
                              <w:t>Midland, TX  79701</w:t>
                            </w:r>
                          </w:p>
                          <w:p>
                            <w:pPr>
                              <w:pStyle w:val="BodyText"/>
                              <w:rPr>
                                <w:b w:val="false"/>
                                <w:bCs w:val="false"/>
                                <w:sz w:val="16"/>
                              </w:rPr>
                            </w:pPr>
                            <w:r>
                              <w:rPr>
                                <w:b w:val="false"/>
                                <w:bCs w:val="false"/>
                                <w:sz w:val="16"/>
                              </w:rPr>
                              <w:t>Phone:</w:t>
                              <w:tab/>
                              <w:t>915-697-7221</w:t>
                            </w:r>
                          </w:p>
                          <w:p>
                            <w:pPr>
                              <w:pStyle w:val="BodyText"/>
                              <w:rPr>
                                <w:b w:val="false"/>
                                <w:bCs w:val="false"/>
                                <w:sz w:val="16"/>
                              </w:rPr>
                            </w:pPr>
                            <w:r>
                              <w:rPr>
                                <w:b w:val="false"/>
                                <w:bCs w:val="false"/>
                                <w:sz w:val="16"/>
                              </w:rPr>
                              <w:t>Fax:</w:t>
                              <w:tab/>
                              <w:t>915-697-7289</w:t>
                            </w:r>
                          </w:p>
                        </w:txbxContent>
                      </wps:txbx>
                      <wps:bodyPr anchor="t" lIns="92075" tIns="46355" rIns="92075" bIns="46355">
                        <a:noAutofit/>
                      </wps:bodyPr>
                    </wps:wsp>
                  </a:graphicData>
                </a:graphic>
              </wp:anchor>
            </w:drawing>
          </mc:Choice>
          <mc:Fallback>
            <w:pict>
              <v:rect fillcolor="#FFFFFF" style="position:absolute;rotation:-0;width:216pt;height:54pt;mso-wrap-distance-left:9.05pt;mso-wrap-distance-right:9.05pt;mso-wrap-distance-top:0pt;mso-wrap-distance-bottom:0pt;margin-top:2pt;mso-position-vertical-relative:text;margin-left:-4.95pt;mso-position-horizontal-relative:text">
                <v:textbox inset="0.100694444444444in,0.0506944444444444in,0.100694444444444in,0.0506944444444444in">
                  <w:txbxContent>
                    <w:p>
                      <w:pPr>
                        <w:pStyle w:val="BodyText"/>
                        <w:rPr>
                          <w:b w:val="false"/>
                          <w:bCs w:val="false"/>
                          <w:sz w:val="16"/>
                        </w:rPr>
                      </w:pPr>
                      <w:r>
                        <w:rPr>
                          <w:b w:val="false"/>
                          <w:bCs w:val="false"/>
                          <w:sz w:val="16"/>
                        </w:rPr>
                        <w:t>1031 Andrews Highway, Suite 211</w:t>
                      </w:r>
                    </w:p>
                    <w:p>
                      <w:pPr>
                        <w:pStyle w:val="BodyText"/>
                        <w:rPr>
                          <w:b w:val="false"/>
                          <w:bCs w:val="false"/>
                          <w:sz w:val="16"/>
                        </w:rPr>
                      </w:pPr>
                      <w:r>
                        <w:rPr>
                          <w:b w:val="false"/>
                          <w:bCs w:val="false"/>
                          <w:sz w:val="16"/>
                        </w:rPr>
                        <w:t>PO Box 1814 (79702)</w:t>
                      </w:r>
                    </w:p>
                    <w:p>
                      <w:pPr>
                        <w:pStyle w:val="BodyText"/>
                        <w:rPr>
                          <w:b w:val="false"/>
                          <w:bCs w:val="false"/>
                          <w:sz w:val="16"/>
                        </w:rPr>
                      </w:pPr>
                      <w:r>
                        <w:rPr>
                          <w:b w:val="false"/>
                          <w:bCs w:val="false"/>
                          <w:sz w:val="16"/>
                        </w:rPr>
                        <w:t>Midland, TX  79701</w:t>
                      </w:r>
                    </w:p>
                    <w:p>
                      <w:pPr>
                        <w:pStyle w:val="BodyText"/>
                        <w:rPr>
                          <w:b w:val="false"/>
                          <w:bCs w:val="false"/>
                          <w:sz w:val="16"/>
                        </w:rPr>
                      </w:pPr>
                      <w:r>
                        <w:rPr>
                          <w:b w:val="false"/>
                          <w:bCs w:val="false"/>
                          <w:sz w:val="16"/>
                        </w:rPr>
                        <w:t>Phone:</w:t>
                        <w:tab/>
                        <w:t>915-697-7221</w:t>
                      </w:r>
                    </w:p>
                    <w:p>
                      <w:pPr>
                        <w:pStyle w:val="BodyText"/>
                        <w:rPr>
                          <w:b w:val="false"/>
                          <w:bCs w:val="false"/>
                          <w:sz w:val="16"/>
                        </w:rPr>
                      </w:pPr>
                      <w:r>
                        <w:rPr>
                          <w:b w:val="false"/>
                          <w:bCs w:val="false"/>
                          <w:sz w:val="16"/>
                        </w:rPr>
                        <w:t>Fax:</w:t>
                        <w:tab/>
                        <w:t>915-697-7289</w:t>
                      </w:r>
                    </w:p>
                  </w:txbxContent>
                </v:textbox>
                <w10:wrap type="none"/>
              </v:rect>
            </w:pict>
          </mc:Fallback>
        </mc:AlternateConten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b/>
          <w:bCs/>
        </w:rPr>
      </w:pPr>
      <w:r>
        <w:rPr>
          <w:b/>
          <w:bCs/>
        </w:rPr>
        <w:t>Via Fax (303-763-3915) and Overnight Mail</w:t>
      </w:r>
    </w:p>
    <w:p>
      <w:pPr>
        <w:pStyle w:val="Normal"/>
        <w:rPr>
          <w:b/>
          <w:bCs/>
        </w:rPr>
      </w:pPr>
      <w:r>
        <w:rPr>
          <w:b/>
          <w:bCs/>
        </w:rPr>
      </w:r>
    </w:p>
    <w:p>
      <w:pPr>
        <w:pStyle w:val="Normal"/>
        <w:tabs>
          <w:tab w:val="clear" w:pos="720"/>
          <w:tab w:val="left" w:pos="4680" w:leader="none"/>
        </w:tabs>
        <w:jc w:val="end"/>
        <w:rPr>
          <w:rFonts w:cs="Arial"/>
        </w:rPr>
      </w:pPr>
      <w:r>
        <w:rPr>
          <w:rFonts w:cs="Arial"/>
        </w:rPr>
      </w:r>
    </w:p>
    <w:p>
      <w:pPr>
        <w:pStyle w:val="Normal"/>
        <w:tabs>
          <w:tab w:val="clear" w:pos="720"/>
          <w:tab w:val="left" w:pos="4680" w:leader="none"/>
        </w:tabs>
        <w:ind w:start="4680" w:end="0"/>
        <w:rPr>
          <w:rFonts w:cs="Arial"/>
        </w:rPr>
      </w:pPr>
      <w:r>
        <w:rPr>
          <w:rFonts w:cs="Arial"/>
        </w:rPr>
        <w:t>September 29, 2000</w:t>
      </w:r>
    </w:p>
    <w:p>
      <w:pPr>
        <w:pStyle w:val="Normal"/>
        <w:tabs>
          <w:tab w:val="clear" w:pos="720"/>
          <w:tab w:val="left" w:pos="4680" w:leader="none"/>
        </w:tabs>
        <w:jc w:val="end"/>
        <w:rPr>
          <w:rFonts w:cs="Arial"/>
        </w:rPr>
      </w:pPr>
      <w:r>
        <w:rPr>
          <w:rFonts w:cs="Arial"/>
        </w:rPr>
      </w:r>
    </w:p>
    <w:p>
      <w:pPr>
        <w:pStyle w:val="Normal"/>
        <w:tabs>
          <w:tab w:val="clear" w:pos="720"/>
          <w:tab w:val="left" w:pos="4680" w:leader="none"/>
        </w:tabs>
        <w:jc w:val="end"/>
        <w:rPr>
          <w:rFonts w:cs="Arial"/>
        </w:rPr>
      </w:pPr>
      <w:r>
        <w:rPr>
          <w:rFonts w:cs="Arial"/>
        </w:rPr>
      </w:r>
    </w:p>
    <w:p>
      <w:pPr>
        <w:pStyle w:val="Heading2"/>
        <w:ind w:hanging="0" w:start="0"/>
        <w:rPr>
          <w:rFonts w:ascii="Arial" w:hAnsi="Arial" w:cs="Arial"/>
          <w:sz w:val="22"/>
        </w:rPr>
      </w:pPr>
      <w:r>
        <w:rPr>
          <w:rFonts w:cs="Arial" w:ascii="Arial" w:hAnsi="Arial"/>
          <w:sz w:val="22"/>
        </w:rPr>
        <w:t>Mr. Kent Harris</w:t>
      </w:r>
    </w:p>
    <w:p>
      <w:pPr>
        <w:pStyle w:val="Normal"/>
        <w:jc w:val="both"/>
        <w:rPr>
          <w:rFonts w:cs="Arial"/>
        </w:rPr>
      </w:pPr>
      <w:r>
        <w:rPr>
          <w:rFonts w:cs="Arial"/>
        </w:rPr>
        <w:t>Wildhorse Energy Partners, LLC</w:t>
      </w:r>
    </w:p>
    <w:p>
      <w:pPr>
        <w:pStyle w:val="Normal"/>
        <w:jc w:val="both"/>
        <w:rPr>
          <w:rFonts w:cs="Arial"/>
        </w:rPr>
      </w:pPr>
      <w:r>
        <w:rPr>
          <w:rFonts w:cs="Arial"/>
        </w:rPr>
        <w:t>370 Van Gordin Street</w:t>
      </w:r>
    </w:p>
    <w:p>
      <w:pPr>
        <w:pStyle w:val="Normal"/>
        <w:jc w:val="both"/>
        <w:rPr>
          <w:rFonts w:cs="Arial"/>
        </w:rPr>
      </w:pPr>
      <w:r>
        <w:rPr>
          <w:rFonts w:cs="Arial"/>
        </w:rPr>
        <w:t>P.O. Box 281304</w:t>
      </w:r>
    </w:p>
    <w:p>
      <w:pPr>
        <w:pStyle w:val="Normal"/>
        <w:jc w:val="both"/>
        <w:rPr>
          <w:rFonts w:cs="Arial"/>
        </w:rPr>
      </w:pPr>
      <w:r>
        <w:rPr>
          <w:rFonts w:cs="Arial"/>
        </w:rPr>
        <w:t>Lakewood, CO 80228-8304</w:t>
      </w:r>
    </w:p>
    <w:p>
      <w:pPr>
        <w:pStyle w:val="Normal"/>
        <w:jc w:val="both"/>
        <w:rPr>
          <w:rFonts w:cs="Arial"/>
        </w:rPr>
      </w:pPr>
      <w:r>
        <w:rPr>
          <w:rFonts w:cs="Arial"/>
        </w:rPr>
      </w:r>
    </w:p>
    <w:p>
      <w:pPr>
        <w:pStyle w:val="BodyText2"/>
        <w:rPr/>
      </w:pPr>
      <w:r>
        <w:rPr/>
        <w:t>Re:</w:t>
        <w:tab/>
        <w:t>Gathering, Processing, and Transportation Agreement between Wildhorse Energy Partners, LLC (“Wildhorse”) and Crescendo Energy, LLC (“Crescendo”) dated October 19, 1993.  San Arroyo Area, Grand County, Utah</w:t>
      </w:r>
    </w:p>
    <w:p>
      <w:pPr>
        <w:pStyle w:val="Normal"/>
        <w:jc w:val="both"/>
        <w:rPr>
          <w:rFonts w:cs="Arial"/>
        </w:rPr>
      </w:pPr>
      <w:r>
        <w:rPr>
          <w:rFonts w:cs="Arial"/>
        </w:rPr>
      </w:r>
    </w:p>
    <w:p>
      <w:pPr>
        <w:pStyle w:val="Normal"/>
        <w:jc w:val="both"/>
        <w:rPr>
          <w:rFonts w:cs="Arial"/>
        </w:rPr>
      </w:pPr>
      <w:r>
        <w:rPr>
          <w:rFonts w:cs="Arial"/>
        </w:rPr>
        <w:t>Dear Mr. Harris:</w:t>
      </w:r>
    </w:p>
    <w:p>
      <w:pPr>
        <w:pStyle w:val="BodyText"/>
        <w:spacing w:before="240" w:after="0"/>
        <w:ind w:firstLine="720" w:end="0"/>
        <w:jc w:val="both"/>
        <w:rPr>
          <w:b w:val="false"/>
          <w:bCs w:val="false"/>
          <w:sz w:val="22"/>
        </w:rPr>
      </w:pPr>
      <w:r>
        <w:rPr>
          <w:b w:val="false"/>
          <w:bCs w:val="false"/>
          <w:sz w:val="22"/>
        </w:rPr>
        <w:t>We are in receipt of your letter dated September 27, 2000.  With that letter, Wildhorse refuses to honor Crescendo’s nomination of its October production for delivery to Northwest Pipeline (NWPL).  Instead, Wildhorse has asserted that Crescendo has no right under its gathering contract to designate the NWPL interconnect as a redelivery point.  This assertion is stated to be based upon Wildhorse’s “opinion” that while “Questar qualifies as a ‘mainline interconnection’ pipeline” under the contract, neither the CIG nor the NWPL interconnect so “qualifies.”</w:t>
      </w:r>
    </w:p>
    <w:p>
      <w:pPr>
        <w:pStyle w:val="BodyText"/>
        <w:spacing w:before="240" w:after="0"/>
        <w:ind w:firstLine="720" w:end="0"/>
        <w:jc w:val="both"/>
        <w:rPr/>
      </w:pPr>
      <w:r>
        <w:rPr>
          <w:b w:val="false"/>
          <w:bCs w:val="false"/>
          <w:sz w:val="22"/>
        </w:rPr>
        <w:t xml:space="preserve">As expressed in your letter of September 27, Wildhorse’s “opinion” as to the meaning of its contract is based upon your desire to re-write the express terms of that contract.  Nowhere in the contract between Wildhorse and Crescendo is there any language that sets up a distinction between “direct” and “indirect” interconnects.  Nor is there any language that requires an interconnect to be limited to “a direct mainline connection” to Mesa’s originally constructed gathering system.  To the contrary, Section 3 of the contract allows Crescendo to designate as a Redelivery Point “any other connection with a mainline carrier.”  The only qualifications applicable to “any other connection” are that each such connection must be “downstream of the tailgate of the Mesa plant,” and the gas offered for delivery must be accepted by the mainline carrier.  Section 8 of the contract says the same thing:  “Mesa agrees to accept all gas delivered up to the maximum daily allowable hereunder </w:t>
      </w:r>
      <w:r>
        <w:rPr>
          <w:b w:val="false"/>
          <w:bCs w:val="false"/>
          <w:i/>
          <w:sz w:val="22"/>
        </w:rPr>
        <w:t xml:space="preserve">and to redeliver the same to a mainline interconnection </w:t>
      </w:r>
      <w:r>
        <w:rPr>
          <w:b w:val="false"/>
          <w:bCs w:val="false"/>
          <w:sz w:val="22"/>
        </w:rPr>
        <w:t>to the extent such gas delivered to a mainline carrier is accepted by such carrier.” (emphasis added)</w:t>
      </w:r>
    </w:p>
    <w:p>
      <w:pPr>
        <w:pStyle w:val="BodyText"/>
        <w:spacing w:before="240" w:after="0"/>
        <w:ind w:firstLine="720" w:end="0"/>
        <w:jc w:val="both"/>
        <w:rPr>
          <w:b w:val="false"/>
          <w:bCs w:val="false"/>
          <w:sz w:val="22"/>
        </w:rPr>
      </w:pPr>
      <w:r>
        <w:rPr>
          <w:b w:val="false"/>
          <w:bCs w:val="false"/>
          <w:sz w:val="22"/>
        </w:rPr>
        <w:t>Wildhorse’s decision to refuse to honor Crescendo’s October nomination for redelivery to NWPL constitutes a breach of its obligations to Crescendo under its gathering contract.</w:t>
      </w:r>
    </w:p>
    <w:p>
      <w:pPr>
        <w:pStyle w:val="BodyText"/>
        <w:spacing w:before="240" w:after="0"/>
        <w:ind w:firstLine="720" w:end="0"/>
        <w:jc w:val="both"/>
        <w:rPr>
          <w:b w:val="false"/>
          <w:bCs w:val="false"/>
          <w:sz w:val="22"/>
        </w:rPr>
      </w:pPr>
      <w:r>
        <w:rPr>
          <w:b w:val="false"/>
          <w:bCs w:val="false"/>
          <w:sz w:val="22"/>
        </w:rPr>
        <w:t>We understand that physically the molecules of gas from Crescendo’s production are being delivered to NWPL, as they have been for some time.  We further understand that Wildhorse has chosen, through swap arrangements, to transfer the benefits derived from deliveries to NWPL to other producers, for their benefit and the benefit of Wildhorse and its affiliates.  Your letter of September 27 breaches Wildhorse’s contractual duty to provide Crescendo with a “first queue” position for transportation of producer gas across its gathering system to the redelivery point of Crescendo’s choosing.  It appears that the reason that Wildhorse has chosen to breach its firm obligation to Crescendo is to benefit other producers and Wildhorse at Crescendo’s expense.</w:t>
      </w:r>
    </w:p>
    <w:p>
      <w:pPr>
        <w:pStyle w:val="BodyText"/>
        <w:spacing w:before="240" w:after="0"/>
        <w:ind w:firstLine="720" w:end="0"/>
        <w:jc w:val="both"/>
        <w:rPr>
          <w:b w:val="false"/>
          <w:bCs w:val="false"/>
          <w:sz w:val="22"/>
        </w:rPr>
      </w:pPr>
      <w:r>
        <w:rPr>
          <w:b w:val="false"/>
          <w:bCs w:val="false"/>
          <w:sz w:val="22"/>
        </w:rPr>
        <w:t>Wildhorse’s refusal to honor Crescendo’s nomination for redelivery to NWPL came unreasonably late and leaves Crescendo with only a very limited time in which to make arrangements to deliver its gas.  Since Wildhorse has unilaterally, falsely, and wrongfully decreed that Questar is the only pipeline interconnect that Crescendo may use as a redelivery point, Crescendo has nominated its October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BodyText"/>
        <w:spacing w:before="240" w:after="0"/>
        <w:ind w:firstLine="720" w:end="0"/>
        <w:jc w:val="both"/>
        <w:rPr>
          <w:b w:val="false"/>
          <w:bCs w:val="false"/>
          <w:sz w:val="22"/>
        </w:rPr>
      </w:pPr>
      <w:r>
        <w:rPr>
          <w:b w:val="false"/>
          <w:bCs w:val="false"/>
          <w:sz w:val="22"/>
        </w:rPr>
        <w:t>Wildhorse’s September 27 letter contains other statements that are as incomprehensible to Crescendo as are Wildhorse’s “opinions” about the meaning of a clearly-written provision of the contract.  Specifically, we fail to understand your statement that Crescendo’s “recently expressed intent was for Wildhorse to declare ‘unprofitability’, and explore further options.”</w:t>
      </w:r>
    </w:p>
    <w:p>
      <w:pPr>
        <w:pStyle w:val="BodyText"/>
        <w:spacing w:before="240" w:after="0"/>
        <w:ind w:firstLine="720" w:end="0"/>
        <w:jc w:val="both"/>
        <w:rPr>
          <w:b w:val="false"/>
          <w:bCs w:val="false"/>
          <w:sz w:val="22"/>
        </w:rPr>
      </w:pPr>
      <w:r>
        <w:rPr>
          <w:b w:val="false"/>
          <w:bCs w:val="false"/>
          <w:sz w:val="22"/>
        </w:rPr>
        <w:t>To set the record straight, you should be advised once again that our prior discussions and correspondence with you have sought clarification from Wildhorse as to whether it intends to declare “unprofitability.”  We sought (and continue to seek) such information in order to be able to make suitable alternative plans in the event that Wildhorse chooses to make such a declaration.  Wildhorse is obligated under its contract to declare its intent in this regard as soon as it is formulated.  Wildhorse is not allowed to prejudice Crescendo’s ability to produce its wells by unreasonably delaying its “unprofitability” decision.  Our letters to you have reminded Wildhorse of its obligations in this regard, and have sought timely clarification of your position.  In no way did Crescendo express any “intent” that Wildhorse declare unprofitability under the contract amendment.</w:t>
      </w:r>
    </w:p>
    <w:p>
      <w:pPr>
        <w:pStyle w:val="BodyText"/>
        <w:spacing w:before="240" w:after="0"/>
        <w:ind w:firstLine="720" w:end="0"/>
        <w:jc w:val="both"/>
        <w:rPr>
          <w:b w:val="false"/>
          <w:bCs w:val="false"/>
          <w:sz w:val="22"/>
        </w:rPr>
      </w:pPr>
      <w:r>
        <w:rPr>
          <w:b w:val="false"/>
          <w:bCs w:val="false"/>
          <w:sz w:val="22"/>
        </w:rPr>
        <w:t xml:space="preserve">Finally, we regard your inquiries about joint development as constituting the only hopeful and potentially productive portion of your September 27 letter.  However, such discussions must be premised upon all parties performing their current obligations under the existing contract.  </w:t>
      </w:r>
      <w:r>
        <w:br w:type="page"/>
      </w:r>
    </w:p>
    <w:p>
      <w:pPr>
        <w:pStyle w:val="BodyText"/>
        <w:spacing w:before="240" w:after="0"/>
        <w:ind w:firstLine="720" w:end="0"/>
        <w:jc w:val="both"/>
        <w:rPr>
          <w:b w:val="false"/>
          <w:bCs w:val="false"/>
          <w:sz w:val="22"/>
        </w:rPr>
      </w:pPr>
      <w:r>
        <w:rPr>
          <w:b w:val="false"/>
          <w:bCs w:val="false"/>
          <w:sz w:val="22"/>
        </w:rPr>
        <w:t>We are interested in pursuing such discussions as soon as you are able to arrange to meet with us.  If you too are serious about resolving these issues, please let me know when you would like to meet to do so.</w:t>
      </w:r>
    </w:p>
    <w:p>
      <w:pPr>
        <w:pStyle w:val="Normal"/>
        <w:jc w:val="both"/>
        <w:rPr>
          <w:rFonts w:cs="Arial"/>
          <w:b/>
          <w:bCs/>
          <w:sz w:val="22"/>
        </w:rPr>
      </w:pPr>
      <w:r>
        <w:rPr>
          <w:rFonts w:cs="Arial"/>
          <w:b/>
          <w:bCs/>
          <w:sz w:val="22"/>
        </w:rPr>
      </w:r>
    </w:p>
    <w:p>
      <w:pPr>
        <w:pStyle w:val="Normal"/>
        <w:jc w:val="both"/>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Sincerely yours,</w:t>
      </w:r>
    </w:p>
    <w:p>
      <w:pPr>
        <w:pStyle w:val="Normal"/>
        <w:tabs>
          <w:tab w:val="clear" w:pos="720"/>
          <w:tab w:val="left" w:pos="9360" w:leader="none"/>
        </w:tabs>
        <w:spacing w:lineRule="auto" w:line="286"/>
        <w:ind w:start="4680" w:end="0"/>
        <w:rPr>
          <w:rFonts w:cs="Arial"/>
        </w:rPr>
      </w:pPr>
      <w:r>
        <w:rPr>
          <w:rFonts w:cs="Arial"/>
        </w:rPr>
        <w:t>Crescendo Energy, LLC</w:t>
      </w:r>
    </w:p>
    <w:p>
      <w:pPr>
        <w:pStyle w:val="BodyTextIndent2"/>
        <w:rPr>
          <w:rFonts w:cs="Arial"/>
        </w:rPr>
      </w:pPr>
      <w:r>
        <w:rPr>
          <w:rFonts w:cs="Arial"/>
        </w:rPr>
        <w:t>By:</w:t>
        <w:tab/>
        <w:t>Crescendo Energy Partners, LLC, its Managing Member</w:t>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Kenneth C. Krisa, President</w:t>
      </w:r>
    </w:p>
    <w:p>
      <w:pPr>
        <w:pStyle w:val="Normal"/>
        <w:rPr>
          <w:rFonts w:cs="Arial"/>
        </w:rPr>
      </w:pPr>
      <w:r>
        <w:rPr>
          <w:rFonts w:cs="Arial"/>
        </w:rPr>
      </w:r>
    </w:p>
    <w:p>
      <w:pPr>
        <w:pStyle w:val="Normal"/>
        <w:rPr>
          <w:rFonts w:cs="Arial"/>
          <w:sz w:val="16"/>
        </w:rPr>
      </w:pPr>
      <w:r>
        <w:rPr>
          <w:rFonts w:cs="Arial"/>
          <w:sz w:val="16"/>
        </w:rPr>
      </w:r>
    </w:p>
    <w:p>
      <w:pPr>
        <w:pStyle w:val="Normal"/>
        <w:jc w:val="both"/>
        <w:rPr>
          <w:rFonts w:cs="Arial"/>
          <w:sz w:val="18"/>
        </w:rPr>
      </w:pPr>
      <w:r>
        <w:rPr>
          <w:rFonts w:cs="Arial"/>
          <w:sz w:val="18"/>
        </w:rPr>
        <w:t>xc:</w:t>
        <w:tab/>
        <w:t>Carter Mathies (Wildhorse Operating Team)</w:t>
      </w:r>
    </w:p>
    <w:p>
      <w:pPr>
        <w:pStyle w:val="Normal"/>
        <w:jc w:val="both"/>
        <w:rPr>
          <w:rFonts w:cs="Arial"/>
          <w:sz w:val="18"/>
        </w:rPr>
      </w:pPr>
      <w:r>
        <w:rPr>
          <w:rFonts w:cs="Arial"/>
          <w:sz w:val="18"/>
        </w:rPr>
        <w:tab/>
        <w:t>Tom Dyk (Wildhorse Operating Team)</w:t>
      </w:r>
    </w:p>
    <w:p>
      <w:pPr>
        <w:pStyle w:val="Normal"/>
        <w:jc w:val="both"/>
        <w:rPr>
          <w:rFonts w:cs="Arial"/>
          <w:sz w:val="18"/>
        </w:rPr>
      </w:pPr>
      <w:r>
        <w:rPr>
          <w:rFonts w:cs="Arial"/>
          <w:sz w:val="18"/>
        </w:rPr>
        <w:tab/>
        <w:t>Pete Scherer (Wildhorse Operating Team)</w:t>
      </w:r>
    </w:p>
    <w:p>
      <w:pPr>
        <w:pStyle w:val="Normal"/>
        <w:jc w:val="both"/>
        <w:rPr>
          <w:rFonts w:cs="Arial"/>
          <w:sz w:val="18"/>
        </w:rPr>
      </w:pPr>
      <w:r>
        <w:rPr>
          <w:rFonts w:cs="Arial"/>
          <w:sz w:val="18"/>
        </w:rPr>
        <w:tab/>
        <w:t>Don Opersteny (Wildhorse Operating Team)</w:t>
      </w:r>
    </w:p>
    <w:p>
      <w:pPr>
        <w:pStyle w:val="Normal"/>
        <w:jc w:val="both"/>
        <w:rPr>
          <w:rFonts w:cs="Arial"/>
          <w:sz w:val="18"/>
        </w:rPr>
      </w:pPr>
      <w:r>
        <w:rPr>
          <w:rFonts w:cs="Arial"/>
          <w:sz w:val="18"/>
        </w:rPr>
        <w:tab/>
        <w:t>Steve Huckaby  (Wildhorse)</w:t>
      </w:r>
    </w:p>
    <w:p>
      <w:pPr>
        <w:pStyle w:val="Normal"/>
        <w:jc w:val="both"/>
        <w:rPr>
          <w:rFonts w:cs="Arial"/>
          <w:sz w:val="18"/>
        </w:rPr>
      </w:pPr>
      <w:r>
        <w:rPr>
          <w:rFonts w:cs="Arial"/>
          <w:sz w:val="18"/>
        </w:rPr>
        <w:tab/>
        <w:t>Scott Josey (Enron North America Corp.)</w:t>
      </w:r>
    </w:p>
    <w:p>
      <w:pPr>
        <w:pStyle w:val="Normal"/>
        <w:jc w:val="both"/>
        <w:rPr>
          <w:rFonts w:cs="Arial"/>
          <w:sz w:val="18"/>
        </w:rPr>
      </w:pPr>
      <w:r>
        <w:rPr>
          <w:rFonts w:cs="Arial"/>
          <w:sz w:val="18"/>
        </w:rPr>
        <w:tab/>
        <w:t>Brian Redmond (Enron North America Corp.)</w:t>
      </w:r>
    </w:p>
    <w:p>
      <w:pPr>
        <w:pStyle w:val="Normal"/>
        <w:jc w:val="both"/>
        <w:rPr>
          <w:rFonts w:cs="Arial"/>
          <w:sz w:val="18"/>
        </w:rPr>
      </w:pPr>
      <w:r>
        <w:rPr>
          <w:rFonts w:cs="Arial"/>
          <w:sz w:val="18"/>
        </w:rPr>
        <w:tab/>
        <w:t>Dan Bump (Enron North America Corp.)</w:t>
      </w:r>
    </w:p>
    <w:p>
      <w:pPr>
        <w:pStyle w:val="Normal"/>
        <w:jc w:val="both"/>
        <w:rPr>
          <w:rFonts w:cs="Arial"/>
          <w:sz w:val="18"/>
        </w:rPr>
      </w:pPr>
      <w:r>
        <w:rPr>
          <w:rFonts w:cs="Arial"/>
          <w:sz w:val="18"/>
        </w:rPr>
        <w:tab/>
        <w:t>Mark Whitt (Enron North America Corp.)</w:t>
      </w:r>
    </w:p>
    <w:p>
      <w:pPr>
        <w:pStyle w:val="Normal"/>
        <w:jc w:val="both"/>
        <w:rPr>
          <w:rFonts w:cs="Arial"/>
          <w:sz w:val="18"/>
        </w:rPr>
      </w:pPr>
      <w:r>
        <w:rPr>
          <w:rFonts w:cs="Arial"/>
          <w:sz w:val="18"/>
        </w:rPr>
        <w:tab/>
        <w:t>Gerald Nemec (Enron North America Corp.)</w:t>
      </w:r>
    </w:p>
    <w:p>
      <w:pPr>
        <w:pStyle w:val="Normal"/>
        <w:rPr>
          <w:rFonts w:cs="Arial"/>
          <w:sz w:val="18"/>
        </w:rPr>
      </w:pPr>
      <w:r>
        <w:rPr>
          <w:rFonts w:cs="Arial"/>
          <w:sz w:val="18"/>
        </w:rPr>
      </w:r>
    </w:p>
    <w:sectPr>
      <w:headerReference w:type="default" r:id="rId2"/>
      <w:headerReference w:type="first" r:id="rId3"/>
      <w:type w:val="nextPage"/>
      <w:pgSz w:w="12240" w:h="15840"/>
      <w:pgMar w:left="1440" w:right="1440" w:gutter="0" w:header="1008" w:top="243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Fonts w:ascii="Arial" w:hAnsi="Arial" w:cs="Arial"/>
        <w:sz w:val="18"/>
      </w:rPr>
    </w:pPr>
    <w:r>
      <w:rPr>
        <w:rFonts w:cs="Arial" w:ascii="Arial" w:hAnsi="Arial"/>
        <w:sz w:val="18"/>
      </w:rPr>
      <w:t>Wildhorse Energy Partners – Kent Harris</w:t>
      <w:tab/>
      <w:tab/>
      <w:t>September 29, 2000</w:t>
    </w:r>
  </w:p>
  <w:p>
    <w:pPr>
      <w:pStyle w:val="Header"/>
      <w:tabs>
        <w:tab w:val="clear" w:pos="8640"/>
        <w:tab w:val="center" w:pos="4320" w:leader="none"/>
        <w:tab w:val="right" w:pos="9270" w:leader="none"/>
      </w:tabs>
      <w:rPr>
        <w:rStyle w:val="PageNumber"/>
        <w:rFonts w:ascii="Arial" w:hAnsi="Arial" w:cs="Arial"/>
        <w:sz w:val="18"/>
      </w:rPr>
    </w:pPr>
    <w:r>
      <w:rPr>
        <w:rFonts w:cs="Arial" w:ascii="Arial" w:hAnsi="Arial"/>
        <w:sz w:val="18"/>
      </w:rPr>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8"/>
      </w:rPr>
    </w:pPr>
    <w:r>
      <w:rPr/>
    </w:r>
  </w:p>
  <w:p>
    <w:pPr>
      <w:pStyle w:val="Header"/>
      <w:tabs>
        <w:tab w:val="clear" w:pos="8640"/>
        <w:tab w:val="center" w:pos="4320" w:leader="none"/>
        <w:tab w:val="right" w:pos="9270" w:leader="none"/>
      </w:tabs>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jc w:val="end"/>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clear" w:pos="720"/>
        <w:tab w:val="left" w:pos="-1022" w:leader="none"/>
        <w:tab w:val="left" w:pos="-720" w:leader="none"/>
        <w:tab w:val="left" w:pos="0" w:leader="none"/>
        <w:tab w:val="left" w:pos="450" w:leader="none"/>
        <w:tab w:val="left" w:pos="1440" w:leader="none"/>
      </w:tabs>
      <w:spacing w:lineRule="auto" w:line="286"/>
      <w:jc w:val="center"/>
      <w:outlineLvl w:val="4"/>
    </w:pPr>
    <w:rPr>
      <w:b/>
    </w:rPr>
  </w:style>
  <w:style w:type="paragraph" w:styleId="Heading7">
    <w:name w:val="heading 7"/>
    <w:basedOn w:val="Normal"/>
    <w:next w:val="Normal"/>
    <w:qFormat/>
    <w:pPr>
      <w:keepNext w:val="true"/>
      <w:numPr>
        <w:ilvl w:val="6"/>
        <w:numId w:val="1"/>
      </w:numPr>
      <w:tabs>
        <w:tab w:val="left" w:pos="-1022" w:leader="none"/>
        <w:tab w:val="left" w:pos="-720" w:leader="none"/>
        <w:tab w:val="left" w:pos="0" w:leader="none"/>
        <w:tab w:val="left" w:pos="27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490" w:leader="none"/>
        <w:tab w:val="left" w:pos="6660" w:leader="none"/>
        <w:tab w:val="left" w:pos="7200" w:leader="none"/>
        <w:tab w:val="left" w:pos="7920" w:leader="none"/>
        <w:tab w:val="left" w:pos="8280" w:leader="none"/>
        <w:tab w:val="left" w:pos="9360" w:leader="none"/>
      </w:tabs>
      <w:spacing w:lineRule="auto" w:line="286"/>
      <w:outlineLvl w:val="6"/>
    </w:pPr>
    <w:rPr>
      <w:b/>
      <w:sz w:val="20"/>
      <w:u w:val="single"/>
    </w:rPr>
  </w:style>
  <w:style w:type="paragraph" w:styleId="Heading8">
    <w:name w:val="heading 8"/>
    <w:basedOn w:val="Normal"/>
    <w:next w:val="Normal"/>
    <w:qFormat/>
    <w:pPr>
      <w:keepNext w:val="true"/>
      <w:numPr>
        <w:ilvl w:val="7"/>
        <w:numId w:val="1"/>
      </w:numPr>
      <w:jc w:val="center"/>
      <w:outlineLvl w:val="7"/>
    </w:pPr>
    <w:rPr>
      <w:b/>
      <w:sz w:val="24"/>
    </w:rPr>
  </w:style>
  <w:style w:type="character" w:styleId="WW8Num1z0">
    <w:name w:val="WW8Num1z0"/>
    <w:qFormat/>
    <w:rPr>
      <w:rFonts w:ascii="Arial" w:hAnsi="Arial" w:cs="Arial"/>
      <w:sz w:val="22"/>
    </w:rPr>
  </w:style>
  <w:style w:type="character" w:styleId="WW8Num2z0">
    <w:name w:val="WW8Num2z0"/>
    <w:qFormat/>
    <w:rPr>
      <w:rFonts w:ascii="WP TypographicSymbols" w:hAnsi="WP TypographicSymbols" w:cs="WP TypographicSymbols"/>
    </w:rPr>
  </w:style>
  <w:style w:type="character" w:styleId="WW8Num3z0">
    <w:name w:val="WW8Num3z0"/>
    <w:qFormat/>
    <w:rPr>
      <w:rFonts w:ascii="WP TypographicSymbols" w:hAnsi="WP TypographicSymbols" w:cs="WP TypographicSymbol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9z0">
    <w:name w:val="WW8Num9z0"/>
    <w:qFormat/>
    <w:rPr>
      <w:rFonts w:ascii="WP TypographicSymbols" w:hAnsi="WP TypographicSymbols" w:cs="WP TypographicSymbols"/>
    </w:rPr>
  </w:style>
  <w:style w:type="character" w:styleId="WW8Num10z0">
    <w:name w:val="WW8Num10z0"/>
    <w:qFormat/>
    <w:rPr>
      <w:rFonts w:ascii="Symbol" w:hAnsi="Symbol" w:cs="Symbol"/>
    </w:rPr>
  </w:style>
  <w:style w:type="character" w:styleId="WW8Num11z0">
    <w:name w:val="WW8Num11z0"/>
    <w:qFormat/>
    <w:rPr>
      <w:rFonts w:ascii="WP TypographicSymbols" w:hAnsi="WP TypographicSymbols" w:cs="WP TypographicSymbols"/>
    </w:rPr>
  </w:style>
  <w:style w:type="character" w:styleId="WW8Num12z0">
    <w:name w:val="WW8Num12z0"/>
    <w:qFormat/>
    <w:rPr/>
  </w:style>
  <w:style w:type="character" w:styleId="WW8Num13z0">
    <w:name w:val="WW8Num13z0"/>
    <w:qFormat/>
    <w:rPr>
      <w:rFonts w:ascii="WP TypographicSymbols" w:hAnsi="WP TypographicSymbols" w:cs="WP TypographicSymbols"/>
    </w:rPr>
  </w:style>
  <w:style w:type="character" w:styleId="WW8Num14z0">
    <w:name w:val="WW8Num14z0"/>
    <w:qFormat/>
    <w:rPr>
      <w:rFonts w:ascii="WP TypographicSymbols" w:hAnsi="WP TypographicSymbols" w:cs="WP TypographicSymbols"/>
    </w:rPr>
  </w:style>
  <w:style w:type="character" w:styleId="WW8Num15z0">
    <w:name w:val="WW8Num15z0"/>
    <w:qFormat/>
    <w:rPr>
      <w:rFonts w:ascii="WP TypographicSymbols" w:hAnsi="WP TypographicSymbols" w:cs="WP TypographicSymbols"/>
    </w:rPr>
  </w:style>
  <w:style w:type="character" w:styleId="WW8Num16z0">
    <w:name w:val="WW8Num16z0"/>
    <w:qFormat/>
    <w:rPr>
      <w:rFonts w:ascii="WP TypographicSymbols" w:hAnsi="WP TypographicSymbols" w:cs="WP TypographicSymbols"/>
    </w:rPr>
  </w:style>
  <w:style w:type="character" w:styleId="WW8Num18z0">
    <w:name w:val="WW8Num18z0"/>
    <w:qFormat/>
    <w:rPr>
      <w:rFonts w:ascii="WP TypographicSymbols" w:hAnsi="WP TypographicSymbols" w:cs="WP TypographicSymbols"/>
    </w:rPr>
  </w:style>
  <w:style w:type="character" w:styleId="WW8Num19z0">
    <w:name w:val="WW8Num19z0"/>
    <w:qFormat/>
    <w:rPr>
      <w:rFonts w:ascii="WP TypographicSymbols" w:hAnsi="WP TypographicSymbols" w:cs="WP TypographicSymbols"/>
    </w:rPr>
  </w:style>
  <w:style w:type="character" w:styleId="WW8Num20z0">
    <w:name w:val="WW8Num20z0"/>
    <w:qFormat/>
    <w:rPr>
      <w:rFonts w:ascii="Symbol" w:hAnsi="Symbol" w:cs="Symbol"/>
    </w:rPr>
  </w:style>
  <w:style w:type="character" w:styleId="WW8Num21z0">
    <w:name w:val="WW8Num21z0"/>
    <w:qFormat/>
    <w:rPr>
      <w:rFonts w:ascii="WP TypographicSymbols" w:hAnsi="WP TypographicSymbols" w:cs="WP TypographicSymbols"/>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WP TypographicSymbols" w:hAnsi="WP TypographicSymbols" w:cs="WP TypographicSymbols"/>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6z0">
    <w:name w:val="WW8Num26z0"/>
    <w:qFormat/>
    <w:rPr>
      <w:rFonts w:ascii="WP TypographicSymbols" w:hAnsi="WP TypographicSymbols" w:cs="WP TypographicSymbols"/>
    </w:rPr>
  </w:style>
  <w:style w:type="character" w:styleId="WW8Num27z0">
    <w:name w:val="WW8Num27z0"/>
    <w:qFormat/>
    <w:rPr>
      <w:rFonts w:ascii="WP TypographicSymbols" w:hAnsi="WP TypographicSymbols" w:cs="WP TypographicSymbols"/>
    </w:rPr>
  </w:style>
  <w:style w:type="character" w:styleId="WW8Num28z0">
    <w:name w:val="WW8Num28z0"/>
    <w:qFormat/>
    <w:rPr>
      <w:rFonts w:ascii="WP TypographicSymbols" w:hAnsi="WP TypographicSymbols" w:cs="WP TypographicSymbols"/>
    </w:rPr>
  </w:style>
  <w:style w:type="character" w:styleId="WW8Num29z0">
    <w:name w:val="WW8Num29z0"/>
    <w:qFormat/>
    <w:rPr>
      <w:rFonts w:ascii="WP TypographicSymbols" w:hAnsi="WP TypographicSymbols" w:cs="WP TypographicSymbols"/>
    </w:rPr>
  </w:style>
  <w:style w:type="character" w:styleId="WW8Num30z0">
    <w:name w:val="WW8Num30z0"/>
    <w:qFormat/>
    <w:rPr>
      <w:rFonts w:ascii="WP TypographicSymbols" w:hAnsi="WP TypographicSymbols" w:cs="WP TypographicSymbols"/>
    </w:rPr>
  </w:style>
  <w:style w:type="character" w:styleId="WW8Num31z0">
    <w:name w:val="WW8Num31z0"/>
    <w:qFormat/>
    <w:rPr>
      <w:rFonts w:ascii="WP TypographicSymbols" w:hAnsi="WP TypographicSymbols" w:cs="WP TypographicSymbols"/>
    </w:rPr>
  </w:style>
  <w:style w:type="character" w:styleId="WW8Num32z0">
    <w:name w:val="WW8Num32z0"/>
    <w:qFormat/>
    <w:rPr>
      <w:rFonts w:ascii="WP TypographicSymbols" w:hAnsi="WP TypographicSymbols" w:cs="WP TypographicSymbols"/>
    </w:rPr>
  </w:style>
  <w:style w:type="character" w:styleId="WW8Num33z0">
    <w:name w:val="WW8Num33z0"/>
    <w:qFormat/>
    <w:rPr/>
  </w:style>
  <w:style w:type="character" w:styleId="WW8Num36z0">
    <w:name w:val="WW8Num36z0"/>
    <w:qFormat/>
    <w:rPr>
      <w:rFonts w:ascii="WP TypographicSymbols" w:hAnsi="WP TypographicSymbols" w:cs="WP TypographicSymbols"/>
    </w:rPr>
  </w:style>
  <w:style w:type="character" w:styleId="WW8Num37z0">
    <w:name w:val="WW8Num37z0"/>
    <w:qFormat/>
    <w:rPr>
      <w:rFonts w:ascii="WP TypographicSymbols" w:hAnsi="WP TypographicSymbols" w:cs="WP TypographicSymbols"/>
    </w:rPr>
  </w:style>
  <w:style w:type="character" w:styleId="WW8Num38z0">
    <w:name w:val="WW8Num38z0"/>
    <w:qFormat/>
    <w:rPr>
      <w:rFonts w:ascii="WP TypographicSymbols" w:hAnsi="WP TypographicSymbols" w:cs="WP TypographicSymbols"/>
    </w:rPr>
  </w:style>
  <w:style w:type="character" w:styleId="WW8Num39z0">
    <w:name w:val="WW8Num39z0"/>
    <w:qFormat/>
    <w:rPr>
      <w:rFonts w:ascii="WP TypographicSymbols" w:hAnsi="WP TypographicSymbols" w:cs="WP TypographicSymbols"/>
    </w:rPr>
  </w:style>
  <w:style w:type="character" w:styleId="WW8Num40z0">
    <w:name w:val="WW8Num40z0"/>
    <w:qFormat/>
    <w:rPr>
      <w:rFonts w:ascii="WP TypographicSymbols" w:hAnsi="WP TypographicSymbols" w:cs="WP TypographicSymbols"/>
    </w:rPr>
  </w:style>
  <w:style w:type="character" w:styleId="WW8Num41z0">
    <w:name w:val="WW8Num41z0"/>
    <w:qFormat/>
    <w:rPr>
      <w:rFonts w:ascii="WP TypographicSymbols" w:hAnsi="WP TypographicSymbols" w:cs="WP TypographicSymbols"/>
    </w:rPr>
  </w:style>
  <w:style w:type="character" w:styleId="WW8Num43z0">
    <w:name w:val="WW8Num43z0"/>
    <w:qFormat/>
    <w:rPr>
      <w:rFonts w:ascii="WP TypographicSymbols" w:hAnsi="WP TypographicSymbols" w:cs="WP TypographicSymbols"/>
    </w:rPr>
  </w:style>
  <w:style w:type="character" w:styleId="WW8Num44z0">
    <w:name w:val="WW8Num44z0"/>
    <w:qFormat/>
    <w:rPr>
      <w:rFonts w:ascii="WP TypographicSymbols" w:hAnsi="WP TypographicSymbols" w:cs="WP TypographicSymbol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P TypographicSymbols" w:hAnsi="WP TypographicSymbols" w:cs="WP TypographicSymbols"/>
    </w:rPr>
  </w:style>
  <w:style w:type="character" w:styleId="WW8Num48z0">
    <w:name w:val="WW8Num48z0"/>
    <w:qFormat/>
    <w:rPr>
      <w:rFonts w:ascii="Symbol" w:hAnsi="Symbol" w:cs="Symbol"/>
    </w:rPr>
  </w:style>
  <w:style w:type="character" w:styleId="WW8Num49z0">
    <w:name w:val="WW8Num49z0"/>
    <w:qFormat/>
    <w:rPr>
      <w:rFonts w:ascii="WP TypographicSymbols" w:hAnsi="WP TypographicSymbols" w:cs="WP TypographicSymbols"/>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WP TypographicSymbols" w:hAnsi="WP TypographicSymbols" w:cs="WP TypographicSymbols"/>
    </w:rPr>
  </w:style>
  <w:style w:type="character" w:styleId="WW8Num55z0">
    <w:name w:val="WW8Num55z0"/>
    <w:qFormat/>
    <w:rPr>
      <w:rFonts w:ascii="WP TypographicSymbols" w:hAnsi="WP TypographicSymbols" w:cs="WP TypographicSymbols"/>
    </w:rPr>
  </w:style>
  <w:style w:type="character" w:styleId="WW8Num56z0">
    <w:name w:val="WW8Num56z0"/>
    <w:qFormat/>
    <w:rPr>
      <w:rFonts w:ascii="WP TypographicSymbols" w:hAnsi="WP TypographicSymbols" w:cs="WP TypographicSymbols"/>
    </w:rPr>
  </w:style>
  <w:style w:type="character" w:styleId="WW8Num57z0">
    <w:name w:val="WW8Num57z0"/>
    <w:qFormat/>
    <w:rPr>
      <w:rFonts w:ascii="WP TypographicSymbols" w:hAnsi="WP TypographicSymbols" w:cs="WP TypographicSymbols"/>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WP TypographicSymbols" w:hAnsi="WP TypographicSymbols" w:cs="WP TypographicSymbols"/>
    </w:rPr>
  </w:style>
  <w:style w:type="character" w:styleId="WW8Num61z0">
    <w:name w:val="WW8Num61z0"/>
    <w:qFormat/>
    <w:rPr>
      <w:rFonts w:ascii="WP TypographicSymbols" w:hAnsi="WP TypographicSymbols" w:cs="WP TypographicSymbols"/>
    </w:rPr>
  </w:style>
  <w:style w:type="character" w:styleId="WW8Num62z0">
    <w:name w:val="WW8Num62z0"/>
    <w:qFormat/>
    <w:rPr>
      <w:rFonts w:ascii="WP TypographicSymbols" w:hAnsi="WP TypographicSymbols" w:cs="WP TypographicSymbols"/>
    </w:rPr>
  </w:style>
  <w:style w:type="character" w:styleId="WW8Num63z0">
    <w:name w:val="WW8Num63z0"/>
    <w:qFormat/>
    <w:rPr>
      <w:rFonts w:ascii="WP TypographicSymbols" w:hAnsi="WP TypographicSymbols" w:cs="WP TypographicSymbols"/>
    </w:rPr>
  </w:style>
  <w:style w:type="character" w:styleId="WW8Num64z0">
    <w:name w:val="WW8Num64z0"/>
    <w:qFormat/>
    <w:rPr>
      <w:rFonts w:ascii="WP TypographicSymbols" w:hAnsi="WP TypographicSymbols" w:cs="WP TypographicSymbol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widowControl w:val="false"/>
      <w:numPr>
        <w:ilvl w:val="0"/>
        <w:numId w:val="2"/>
      </w:numPr>
      <w:ind w:hanging="720" w:start="720" w:end="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style>
  <w:style w:type="paragraph" w:styleId="BodyText2">
    <w:name w:val="Body Text 2"/>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BCCK Letterhead.dot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2000-09-29T17:43:00Z</dcterms:created>
  <dc:creator>Ken Krisa</dc:creator>
  <dc:description/>
  <dc:language>en-CA</dc:language>
  <cp:lastModifiedBy>Ken Krisa</cp:lastModifiedBy>
  <cp:lastPrinted>2000-07-28T15:20:00Z</cp:lastPrinted>
  <dcterms:modified xsi:type="dcterms:W3CDTF">2000-09-29T17:59:00Z</dcterms:modified>
  <cp:revision>4</cp:revision>
  <dc:subject/>
  <dc:title>July 20, 2000</dc:title>
</cp:coreProperties>
</file>