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r>
        <w:rPr/>
        <w:t>Memorandum</w:t>
      </w:r>
    </w:p>
    <w:p>
      <w:pPr>
        <w:pStyle w:val="MessageHeaderFirst"/>
        <w:keepLines w:val="false"/>
        <w:rPr/>
      </w:pPr>
      <w:r>
        <w:rPr>
          <w:rStyle w:val="MessageHeaderLabel"/>
        </w:rPr>
        <w:t>To:</w:t>
      </w:r>
      <w:r>
        <w:rPr/>
        <w:tab/>
        <w:t>Gerald Nemec</w:t>
      </w:r>
    </w:p>
    <w:p>
      <w:pPr>
        <w:pStyle w:val="MessageHeader"/>
        <w:keepLines w:val="false"/>
        <w:rPr/>
      </w:pPr>
      <w:r>
        <w:rPr>
          <w:rStyle w:val="MessageHeaderLabel"/>
        </w:rPr>
        <w:t>From:</w:t>
      </w:r>
      <w:r>
        <w:rPr/>
        <w:tab/>
        <w:t>Craig R. Carver</w:t>
      </w:r>
    </w:p>
    <w:p>
      <w:pPr>
        <w:pStyle w:val="MessageHeader"/>
        <w:keepLines w:val="false"/>
        <w:rPr/>
      </w:pPr>
      <w:r>
        <w:rPr>
          <w:rStyle w:val="MessageHeaderLabel"/>
        </w:rPr>
        <w:t>Date:</w:t>
      </w:r>
      <w:r>
        <w:rPr/>
        <w:tab/>
      </w:r>
      <w:r>
        <w:rPr/>
        <w:fldChar w:fldCharType="begin"/>
      </w:r>
      <w:r>
        <w:rPr/>
        <w:instrText xml:space="preserve"> CREATEDATE \@"MMMM\ d', 'yyyy" </w:instrText>
      </w:r>
      <w:r>
        <w:rPr/>
        <w:fldChar w:fldCharType="separate"/>
      </w:r>
      <w:r>
        <w:rPr/>
        <w:t>December 7, 2000</w:t>
      </w:r>
      <w:r>
        <w:rPr/>
        <w:fldChar w:fldCharType="end"/>
      </w:r>
    </w:p>
    <w:p>
      <w:pPr>
        <w:pStyle w:val="MessageHeaderLast"/>
        <w:keepLines w:val="false"/>
        <w:rPr/>
      </w:pPr>
      <w:r>
        <w:rPr>
          <w:rStyle w:val="MessageHeaderLabel"/>
        </w:rPr>
        <w:t>Re:</w:t>
      </w:r>
      <w:r>
        <w:rPr/>
        <w:tab/>
        <w:t>Review of Wildhorse – National Fuel Corporation gas gathering agreement.</w:t>
      </w:r>
    </w:p>
    <w:p>
      <w:pPr>
        <w:pStyle w:val="Paragraph"/>
        <w:rPr/>
      </w:pPr>
      <w:r>
        <w:rPr/>
        <w:t>You have asked me to review this agreement for the purpose of evaluating whether the Gatherer would be within its rights to refuse to gather gas for the Shipper until and unless the Shipper agrees to pay an increased gathering fee.</w:t>
      </w:r>
    </w:p>
    <w:p>
      <w:pPr>
        <w:pStyle w:val="Paragraph"/>
        <w:rPr/>
      </w:pPr>
      <w:r>
        <w:rPr/>
        <w:t>The major interpretive problem posed by this agreement is that the drafters appear to have engrafted an “interruptible” gathering regime on the body of a “firm” gathering contract form.  The result is inconsistent provisions: the parties can pick and choose separate portions of the contract as support for their respective positions.</w:t>
      </w:r>
    </w:p>
    <w:p>
      <w:pPr>
        <w:pStyle w:val="Heading2"/>
        <w:ind w:hanging="0" w:start="0"/>
        <w:rPr/>
      </w:pPr>
      <w:r>
        <w:rPr/>
        <w:t>The relevant sections of the agreement are as follows:</w:t>
      </w:r>
    </w:p>
    <w:p>
      <w:pPr>
        <w:pStyle w:val="Heading3"/>
        <w:ind w:hanging="0" w:start="0"/>
        <w:rPr/>
      </w:pPr>
      <w:r>
        <w:rPr/>
        <w:t>Section 2.01</w:t>
      </w:r>
    </w:p>
    <w:p>
      <w:pPr>
        <w:pStyle w:val="Heading4"/>
        <w:ind w:hanging="0" w:start="0"/>
        <w:rPr/>
      </w:pPr>
      <w:r>
        <w:rPr/>
        <w:t>The “definition” section.</w:t>
      </w:r>
    </w:p>
    <w:p>
      <w:pPr>
        <w:pStyle w:val="Paragraph"/>
        <w:rPr/>
      </w:pPr>
      <w:r>
        <w:rPr/>
        <w:t>Section 2.01 obligates Gatherer to provide gathering services to Shipper “on a reasonable efforts basis.”  This is defined as meaning that “Gatherer shall use its reasonable efforts to provide the gathering service intended under this Agreement, but Gatherer shall have the right, at any time, with reasonable notice to Shipper, to interrupt or reduce, in whole or in part, its receipt, gathering or delivery of Shipper’s Gas for any reason, including, but not limited to, insufficient Capacity, operational factors and deliveries to any other shipper or sales customer, all without incurring any liability of any kind to Shipper or to others.”</w:t>
      </w:r>
    </w:p>
    <w:p>
      <w:pPr>
        <w:pStyle w:val="Paragraph"/>
        <w:rPr/>
      </w:pPr>
      <w:r>
        <w:rPr/>
        <w:t xml:space="preserve">This definition is not only a mouthful, it is internally inconsistent.  On the one hand, the “for any reason” portion of this provision certainly supports the notion that the Gatherer can interrupt service for the reason that it is not getting paid enough.  On the other hand, use of the mandatory verb “shall” together with the repeated use of the term “reasonable” provide support for the argument that the term “for any reason” is modified by the underlying purposes of the agreement, and the need for the Gatherer to be “reasonable” in what it does.  </w:t>
      </w:r>
    </w:p>
    <w:p>
      <w:pPr>
        <w:pStyle w:val="Paragraph"/>
        <w:rPr/>
      </w:pPr>
      <w:r>
        <w:rPr/>
        <w:t>The “including, but not limited to” clause which follows the “for any reason” language is not helpful.  Paradoxically, Colorado cases interpret phrases such as this as imposing limitations.  Such cases function to limit the term “for any reason” to the types of reasons enumerated in the “not limited to” listing.  All of those reasons are operational in nature.  None are economically based.</w:t>
      </w:r>
    </w:p>
    <w:p>
      <w:pPr>
        <w:pStyle w:val="Paragraph"/>
        <w:rPr/>
      </w:pPr>
      <w:r>
        <w:rPr/>
        <w:t>Finally, the last clause of the “definition” provides support for the Gatherer’s argument, since it putatively negates any remedy for the Shipper, even if the Gatherer interrupts service.</w:t>
      </w:r>
    </w:p>
    <w:p>
      <w:pPr>
        <w:pStyle w:val="Paragraph"/>
        <w:rPr/>
      </w:pPr>
      <w:r>
        <w:rPr/>
        <w:t>On balance, I believe that this paragraph, standing alone, provides more support for the Shipper’s position, than the Gatherer’s.  I am particularly influenced by Colorado’s “duty of good faith and fair dealing” cases (which were discussed in detail in our memo to you dated September 13, 2000).  The holding of those cases, when combined with the wording of this provision, could give any Gatherer who sought to terminate service for an “economic out” reason many problems in court.</w:t>
      </w:r>
    </w:p>
    <w:p>
      <w:pPr>
        <w:pStyle w:val="Heading4"/>
        <w:ind w:hanging="0" w:start="0"/>
        <w:rPr/>
      </w:pPr>
      <w:r>
        <w:rPr/>
        <w:t>The second – standby service – paragraph.</w:t>
      </w:r>
    </w:p>
    <w:p>
      <w:pPr>
        <w:pStyle w:val="Paragraph"/>
        <w:rPr/>
      </w:pPr>
      <w:r>
        <w:rPr/>
        <w:t>This paragraph disclaims Gatherer responsibility for “interruption of or reduction in the gathering service” provided by Gatherer, and expressly imposes on Shipper the obligation to provide its own “necessary standby gathering or service facilities.”  Allocation of responsibilities in this fashion enhances Gatherer’s position that it can “interrupt” service for economic reasons.  However, use of the terms “interruption of or reduction in” could be construed as meaning something very different than “termination of” services.</w:t>
      </w:r>
    </w:p>
    <w:p>
      <w:pPr>
        <w:pStyle w:val="Heading3"/>
        <w:ind w:hanging="0" w:start="0"/>
        <w:rPr/>
      </w:pPr>
      <w:r>
        <w:rPr/>
        <w:t>Section 2.05.</w:t>
      </w:r>
    </w:p>
    <w:p>
      <w:pPr>
        <w:pStyle w:val="Paragraph"/>
        <w:rPr/>
      </w:pPr>
      <w:r>
        <w:rPr/>
        <w:t>This provision provides the strongest support for Gatherer’s argument.  By expressly discussing the situation that would prevail “should Gatherer fail to gather Shipper’s gas” for prescribed periods of time, the parties have acknowledged that this situation was contemplated.  The overall wording of the section lends credence to the argument that the parties contemplated the possibility of long term “interruptions” of service “for any reason.”  By specifying “Shipper’s sole remedy” as consisting of its optional right to release its wells from the dedication, the parties provided a defined mechanism for dealing with this situation.</w:t>
      </w:r>
    </w:p>
    <w:p>
      <w:pPr>
        <w:pStyle w:val="Heading3"/>
        <w:ind w:hanging="0" w:start="0"/>
        <w:rPr/>
      </w:pPr>
      <w:r>
        <w:rPr/>
        <w:t>Section 4.02</w:t>
      </w:r>
    </w:p>
    <w:p>
      <w:pPr>
        <w:pStyle w:val="Paragraph"/>
        <w:rPr/>
      </w:pPr>
      <w:r>
        <w:rPr/>
        <w:t>The portion of this section that specifies when the Gatherer “shall have the right to redetermine the rate(s) to be charged for Gathering Services hereunder” could easily be interpreted as negating the Gatherer’s “right” to redetermine rates if those conditions (i.e. Gatherer has expanded its facilities in response to Shipper’s request) have not been met.</w:t>
      </w:r>
    </w:p>
    <w:p>
      <w:pPr>
        <w:pStyle w:val="Heading3"/>
        <w:ind w:hanging="0" w:start="0"/>
        <w:rPr/>
      </w:pPr>
      <w:r>
        <w:rPr/>
        <w:t>Sections 5.01 and 5.02.</w:t>
      </w:r>
    </w:p>
    <w:p>
      <w:pPr>
        <w:pStyle w:val="Paragraph"/>
        <w:rPr/>
      </w:pPr>
      <w:r>
        <w:rPr/>
        <w:t>These sections, along with others in the agreement, are drafted as if they were a part of a “firm” gathering agreement.</w:t>
      </w:r>
    </w:p>
    <w:p>
      <w:pPr>
        <w:pStyle w:val="Heading3"/>
        <w:ind w:hanging="0" w:start="0"/>
        <w:rPr/>
      </w:pPr>
      <w:r>
        <w:rPr/>
        <w:t>Section 10.01</w:t>
      </w:r>
    </w:p>
    <w:p>
      <w:pPr>
        <w:pStyle w:val="Paragraph"/>
        <w:rPr/>
      </w:pPr>
      <w:r>
        <w:rPr/>
        <w:t>The contract provides for a sliding scale gathering rate, dependent upon gas prices, for a ten-year period.  The way in which these provisions are drafted lends little support for a contention that the parties intended for the Gatherer to be able to exercise an “economic out.”</w:t>
      </w:r>
    </w:p>
    <w:p>
      <w:pPr>
        <w:pStyle w:val="Heading3"/>
        <w:ind w:hanging="0" w:start="0"/>
        <w:rPr/>
      </w:pPr>
      <w:r>
        <w:rPr/>
        <w:t>Section 10.09(a).</w:t>
      </w:r>
    </w:p>
    <w:p>
      <w:pPr>
        <w:pStyle w:val="Paragraph"/>
        <w:rPr/>
      </w:pPr>
      <w:r>
        <w:rPr/>
        <w:t>Reference to “Gatherer’s obligation to gather Gas hereunder” in this section is similar to the tone used in a variety of other sections.  These provisions could be interpreted as negating an argument that asserted that Gatherer is not under any obligation to gather gas at the specified price.</w:t>
      </w:r>
    </w:p>
    <w:p>
      <w:pPr>
        <w:pStyle w:val="Heading3"/>
        <w:ind w:hanging="0" w:start="0"/>
        <w:rPr/>
      </w:pPr>
      <w:r>
        <w:rPr/>
        <w:t>Article XVI.</w:t>
      </w:r>
    </w:p>
    <w:p>
      <w:pPr>
        <w:pStyle w:val="Paragraph"/>
        <w:rPr/>
      </w:pPr>
      <w:r>
        <w:rPr/>
        <w:t>The Force Majeure provision does not reference any kind of economic fluctuation as constituting a force majeure event.</w:t>
      </w:r>
    </w:p>
    <w:p>
      <w:pPr>
        <w:pStyle w:val="Heading3"/>
        <w:ind w:hanging="0" w:start="0"/>
        <w:rPr/>
      </w:pPr>
      <w:r>
        <w:rPr/>
        <w:t>Articles XVIII and XIX.</w:t>
      </w:r>
    </w:p>
    <w:p>
      <w:pPr>
        <w:pStyle w:val="Paragraph"/>
        <w:rPr/>
      </w:pPr>
      <w:r>
        <w:rPr/>
        <w:t>While not directly relevant to the point you raised, I wanted to flag the fact that the agreement contains a “no assignment without express written consent of” Shipper provision.  You should also note that attorneys’ fees are awardable to the prevailing party in the event of a dispute.</w:t>
      </w:r>
    </w:p>
    <w:p>
      <w:pPr>
        <w:pStyle w:val="Heading2"/>
        <w:ind w:hanging="0" w:start="0"/>
        <w:rPr/>
      </w:pPr>
      <w:r>
        <w:rPr/>
        <w:t>Conclusion.</w:t>
      </w:r>
    </w:p>
    <w:p>
      <w:pPr>
        <w:pStyle w:val="Paragraph"/>
        <w:rPr/>
      </w:pPr>
      <w:r>
        <w:rPr/>
        <w:t>The single provision that most directly deals with the issue you have raised is Section 2.05.  It provides you with a very strong argument that the Gatherer has an absolute right to terminate services until prices are increased (particularly if price increases are necessary to break even).  It also provides you with a strong basis for arguing that even if Gatherer’s position is wrong, Shipper’s sole remedy for breach is to terminate the dedication and make alternative gathering arrangements.</w:t>
      </w:r>
    </w:p>
    <w:p>
      <w:pPr>
        <w:pStyle w:val="Paragraph"/>
        <w:rPr/>
      </w:pPr>
      <w:r>
        <w:rPr/>
        <w:t>On balance, I think the arguments provided by Section 2.05 are somewhat stronger than the counter-arguments.  There are, however, so many countervailing arguments provided by so many other sections of the agreement, that I believe it is a close question.  Should a dispute arise and proceed to litigation, the outcome could go either way.</w:t>
      </w:r>
    </w:p>
    <w:p>
      <w:pPr>
        <w:pStyle w:val="Paragraph"/>
        <w:rPr/>
      </w:pPr>
      <w:r>
        <w:rPr/>
      </w:r>
    </w:p>
    <w:p>
      <w:pPr>
        <w:pStyle w:val="Paragraph"/>
        <w:rPr/>
      </w:pPr>
      <w:r>
        <w:rPr/>
      </w:r>
    </w:p>
    <w:p>
      <w:pPr>
        <w:pStyle w:val="Normal"/>
        <w:rPr/>
      </w:pPr>
      <w:r>
        <w:rPr/>
        <w:t>Craig R. Carver</w:t>
      </w:r>
    </w:p>
    <w:p>
      <w:pPr>
        <w:pStyle w:val="Normal"/>
        <w:rPr/>
      </w:pPr>
      <w:r>
        <w:rPr/>
        <w:t>Alfers &amp; Carver, LLC</w:t>
      </w:r>
    </w:p>
    <w:sectPr>
      <w:headerReference w:type="default" r:id="rId2"/>
      <w:headerReference w:type="first" r:id="rId3"/>
      <w:footerReference w:type="default" r:id="rId4"/>
      <w:footerReference w:type="first" r:id="rId5"/>
      <w:type w:val="nextPage"/>
      <w:pgSz w:w="12240" w:h="15840"/>
      <w:pgMar w:left="1800" w:right="1800" w:gutter="0" w:header="960" w:top="1685"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mpact">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jc w:val="center"/>
      <w:rPr/>
    </w:pP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lvl>
    <w:lvl w:ilvl="1">
      <w:start w:val="1"/>
      <w:pStyle w:val="Heading2"/>
      <w:numFmt w:val="upperLetter"/>
      <w:lvlText w:val="%2."/>
      <w:lvlJc w:val="start"/>
      <w:pPr>
        <w:tabs>
          <w:tab w:val="num" w:pos="720"/>
        </w:tabs>
        <w:ind w:start="720" w:hanging="360"/>
      </w:pPr>
    </w:lvl>
    <w:lvl w:ilvl="2">
      <w:start w:val="1"/>
      <w:pStyle w:val="Heading3"/>
      <w:numFmt w:val="decimal"/>
      <w:lvlText w:val="%3)"/>
      <w:lvlJc w:val="start"/>
      <w:pPr>
        <w:tabs>
          <w:tab w:val="num" w:pos="1080"/>
        </w:tabs>
        <w:ind w:start="1080" w:hanging="360"/>
      </w:pPr>
    </w:lvl>
    <w:lvl w:ilvl="3">
      <w:start w:val="1"/>
      <w:pStyle w:val="Heading4"/>
      <w:numFmt w:val="lowerLetter"/>
      <w:lvlText w:val="(%4)"/>
      <w:lvlJc w:val="start"/>
      <w:pPr>
        <w:tabs>
          <w:tab w:val="num" w:pos="1440"/>
        </w:tabs>
        <w:ind w:start="1440" w:hanging="360"/>
      </w:pPr>
    </w:lvl>
    <w:lvl w:ilvl="4">
      <w:start w:val="1"/>
      <w:pStyle w:val="Heading5"/>
      <w:numFmt w:val="lowerRoman"/>
      <w:lvlText w:val="(%5)"/>
      <w:lvlJc w:val="start"/>
      <w:pPr>
        <w:tabs>
          <w:tab w:val="num" w:pos="2160"/>
        </w:tabs>
        <w:ind w:start="1800" w:hanging="360"/>
      </w:pPr>
    </w:lvl>
    <w:lvl w:ilvl="5">
      <w:start w:val="1"/>
      <w:pStyle w:val="Heading6"/>
      <w:numFmt w:val="lowerLetter"/>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Base"/>
    <w:next w:val="BodyText"/>
    <w:qFormat/>
    <w:pPr>
      <w:keepNext w:val="false"/>
      <w:keepLines w:val="false"/>
      <w:numPr>
        <w:ilvl w:val="0"/>
        <w:numId w:val="1"/>
      </w:numPr>
      <w:spacing w:lineRule="auto" w:line="240" w:before="240" w:after="0"/>
      <w:outlineLvl w:val="0"/>
    </w:pPr>
    <w:rPr>
      <w:rFonts w:ascii="Times New Roman" w:hAnsi="Times New Roman" w:cs="Times New Roman"/>
      <w:b/>
      <w:sz w:val="28"/>
    </w:rPr>
  </w:style>
  <w:style w:type="paragraph" w:styleId="Heading2">
    <w:name w:val="heading 2"/>
    <w:basedOn w:val="HeadingBase"/>
    <w:next w:val="BodyText"/>
    <w:qFormat/>
    <w:pPr>
      <w:keepNext w:val="false"/>
      <w:keepLines w:val="false"/>
      <w:numPr>
        <w:ilvl w:val="1"/>
        <w:numId w:val="1"/>
      </w:numPr>
      <w:spacing w:lineRule="auto" w:line="240" w:before="240" w:after="0"/>
      <w:outlineLvl w:val="1"/>
    </w:pPr>
    <w:rPr>
      <w:rFonts w:ascii="Times New Roman" w:hAnsi="Times New Roman" w:cs="Times New Roman"/>
      <w:b/>
      <w:spacing w:val="0"/>
      <w:sz w:val="24"/>
    </w:rPr>
  </w:style>
  <w:style w:type="paragraph" w:styleId="Heading3">
    <w:name w:val="heading 3"/>
    <w:basedOn w:val="HeadingBase"/>
    <w:next w:val="BodyText"/>
    <w:qFormat/>
    <w:pPr>
      <w:keepNext w:val="false"/>
      <w:keepLines w:val="false"/>
      <w:widowControl w:val="false"/>
      <w:numPr>
        <w:ilvl w:val="2"/>
        <w:numId w:val="1"/>
      </w:numPr>
      <w:spacing w:lineRule="auto" w:line="240" w:before="240" w:after="0"/>
      <w:outlineLvl w:val="2"/>
    </w:pPr>
    <w:rPr>
      <w:rFonts w:ascii="Times New Roman" w:hAnsi="Times New Roman" w:cs="Times New Roman"/>
      <w:spacing w:val="0"/>
      <w:sz w:val="24"/>
    </w:rPr>
  </w:style>
  <w:style w:type="paragraph" w:styleId="Heading4">
    <w:name w:val="heading 4"/>
    <w:basedOn w:val="HeadingBase"/>
    <w:next w:val="BodyText"/>
    <w:qFormat/>
    <w:pPr>
      <w:keepNext w:val="false"/>
      <w:keepLines w:val="false"/>
      <w:numPr>
        <w:ilvl w:val="3"/>
        <w:numId w:val="1"/>
      </w:numPr>
      <w:spacing w:lineRule="auto" w:line="240" w:before="240" w:after="0"/>
      <w:outlineLvl w:val="3"/>
    </w:pPr>
    <w:rPr>
      <w:rFonts w:ascii="Times New Roman" w:hAnsi="Times New Roman" w:cs="Times New Roman"/>
      <w:spacing w:val="0"/>
      <w:sz w:val="24"/>
    </w:rPr>
  </w:style>
  <w:style w:type="paragraph" w:styleId="Heading5">
    <w:name w:val="heading 5"/>
    <w:basedOn w:val="HeadingBase"/>
    <w:next w:val="BodyText"/>
    <w:qFormat/>
    <w:pPr>
      <w:keepNext w:val="false"/>
      <w:keepLines w:val="false"/>
      <w:numPr>
        <w:ilvl w:val="4"/>
        <w:numId w:val="1"/>
      </w:numPr>
      <w:spacing w:lineRule="auto" w:line="240" w:before="240" w:after="0"/>
      <w:outlineLvl w:val="4"/>
    </w:pPr>
    <w:rPr>
      <w:rFonts w:ascii="Times New Roman" w:hAnsi="Times New Roman" w:cs="Times New Roman"/>
      <w:spacing w:val="0"/>
      <w:sz w:val="24"/>
    </w:rPr>
  </w:style>
  <w:style w:type="paragraph" w:styleId="Heading6">
    <w:name w:val="heading 6"/>
    <w:basedOn w:val="HeadingBase"/>
    <w:next w:val="BodyText"/>
    <w:qFormat/>
    <w:pPr>
      <w:keepNext w:val="false"/>
      <w:keepLines w:val="false"/>
      <w:numPr>
        <w:ilvl w:val="5"/>
        <w:numId w:val="1"/>
      </w:numPr>
      <w:spacing w:lineRule="auto" w:line="240" w:before="240" w:after="0"/>
      <w:outlineLvl w:val="5"/>
    </w:pPr>
    <w:rPr>
      <w:rFonts w:ascii="Times New Roman" w:hAnsi="Times New Roman" w:cs="Times New Roman"/>
      <w:spacing w:val="0"/>
      <w:sz w:val="24"/>
    </w:rPr>
  </w:style>
  <w:style w:type="paragraph" w:styleId="Heading7">
    <w:name w:val="heading 7"/>
    <w:basedOn w:val="HeadingBase"/>
    <w:next w:val="BodyText"/>
    <w:qFormat/>
    <w:pPr>
      <w:outlineLvl w:val="6"/>
    </w:pPr>
    <w:rPr>
      <w:rFonts w:ascii="Times New Roman" w:hAnsi="Times New Roman" w:cs="Times New Roman"/>
      <w:spacing w:val="-4"/>
      <w:sz w:val="22"/>
    </w:rPr>
  </w:style>
  <w:style w:type="paragraph" w:styleId="Heading8">
    <w:name w:val="heading 8"/>
    <w:basedOn w:val="HeadingBase"/>
    <w:next w:val="BodyText"/>
    <w:qFormat/>
    <w:pPr>
      <w:spacing w:before="0" w:after="0"/>
      <w:outlineLvl w:val="7"/>
    </w:pPr>
    <w:rPr>
      <w:i/>
      <w:spacing w:val="-4"/>
    </w:rPr>
  </w:style>
  <w:style w:type="paragraph" w:styleId="Heading9">
    <w:name w:val="heading 9"/>
    <w:basedOn w:val="HeadingBase"/>
    <w:next w:val="BodyText"/>
    <w:qFormat/>
    <w:pPr>
      <w:spacing w:before="0" w:after="0"/>
      <w:outlineLvl w:val="8"/>
    </w:pPr>
    <w:rPr>
      <w:spacing w:val="-4"/>
    </w:rPr>
  </w:style>
  <w:style w:type="character" w:styleId="DefaultParagraphFont">
    <w:name w:val="Default Paragraph Font"/>
    <w:qFormat/>
    <w:rPr/>
  </w:style>
  <w:style w:type="character" w:styleId="EndnoteCharacters">
    <w:name w:val="Endnote Characters"/>
    <w:qFormat/>
    <w:rPr>
      <w:rFonts w:ascii="Times New Roman" w:hAnsi="Times New Roman" w:cs="Times New Roman"/>
      <w:sz w:val="20"/>
      <w:vertAlign w:val="superscript"/>
    </w:rPr>
  </w:style>
  <w:style w:type="character" w:styleId="FootnoteCharacters">
    <w:name w:val="Footnote Characters"/>
    <w:qFormat/>
    <w:rPr>
      <w:rFonts w:ascii="Times New Roman" w:hAnsi="Times New Roman" w:cs="Times New Roman"/>
      <w:sz w:val="20"/>
      <w:vertAlign w:val="superscript"/>
    </w:rPr>
  </w:style>
  <w:style w:type="character" w:styleId="Lead-inEmphasis">
    <w:name w:val="Lead-in Emphasis"/>
    <w:qFormat/>
    <w:rPr>
      <w:rFonts w:ascii="Arial" w:hAnsi="Arial" w:cs="Arial"/>
      <w:b/>
      <w:spacing w:val="-10"/>
    </w:rPr>
  </w:style>
  <w:style w:type="character" w:styleId="LineNumber">
    <w:name w:val="line number"/>
    <w:rPr>
      <w:sz w:val="18"/>
    </w:rPr>
  </w:style>
  <w:style w:type="character" w:styleId="PageNumber">
    <w:name w:val="page number"/>
    <w:rPr/>
  </w:style>
  <w:style w:type="character" w:styleId="Superscript">
    <w:name w:val="Superscript"/>
    <w:qFormat/>
    <w:rPr>
      <w:vertAlign w:val="superscript"/>
    </w:rPr>
  </w:style>
  <w:style w:type="character" w:styleId="MessageHeaderLabel">
    <w:name w:val="Message Header Label"/>
    <w:qFormat/>
    <w:rPr>
      <w:rFonts w:ascii="Times New Roman" w:hAnsi="Times New Roman" w:cs="Times New Roman"/>
      <w:b/>
      <w:spacing w:val="-4"/>
      <w:position w:val="0"/>
      <w:sz w:val="24"/>
      <w:sz w:val="24"/>
      <w:vertAlign w:val="baseline"/>
    </w:rPr>
  </w:style>
  <w:style w:type="character" w:styleId="Emphasis">
    <w:name w:val="Emphasis"/>
    <w:qFormat/>
    <w:rPr>
      <w:rFonts w:ascii="Arial" w:hAnsi="Arial" w:cs="Arial"/>
      <w:b/>
      <w:spacing w:val="-10"/>
      <w:sz w:val="18"/>
    </w:rPr>
  </w:style>
  <w:style w:type="character" w:styleId="CommentReference">
    <w:name w:val="Comment Reference"/>
    <w:qFormat/>
    <w:rPr>
      <w:sz w:val="16"/>
    </w:rPr>
  </w:style>
  <w:style w:type="character" w:styleId="Slogan">
    <w:name w:val="Slogan"/>
    <w:basedOn w:val="DefaultParagraphFont"/>
    <w:qFormat/>
    <w:rPr>
      <w:rFonts w:ascii="Impact" w:hAnsi="Impact" w:cs="Impact"/>
      <w:caps/>
      <w:color w:val="FFFFFF"/>
      <w:spacing w:val="20"/>
      <w:sz w:val="48"/>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tyle>
  <w:style w:type="paragraph" w:styleId="List">
    <w:name w:val="List"/>
    <w:basedOn w:val="BodyText"/>
    <w:pPr>
      <w:ind w:hanging="360" w:start="1200" w:end="0"/>
    </w:pPr>
    <w:rPr/>
  </w:style>
  <w:style w:type="paragraph" w:styleId="Caption">
    <w:name w:val="caption"/>
    <w:basedOn w:val="Picture"/>
    <w:next w:val="BodyText"/>
    <w:qFormat/>
    <w:pPr>
      <w:spacing w:lineRule="atLeast" w:line="220"/>
    </w:pPr>
    <w:rPr>
      <w:i/>
      <w:sz w:val="18"/>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FootnoteBase">
    <w:name w:val="Footnote Base"/>
    <w:basedOn w:val="BodyText"/>
    <w:qFormat/>
    <w:pPr>
      <w:keepLines/>
      <w:spacing w:lineRule="atLeast" w:line="200"/>
    </w:pPr>
    <w:rPr>
      <w:sz w:val="16"/>
    </w:rPr>
  </w:style>
  <w:style w:type="paragraph" w:styleId="MessageHeader">
    <w:name w:val="Message Header"/>
    <w:basedOn w:val="BodyText"/>
    <w:qFormat/>
    <w:pPr>
      <w:keepLines/>
      <w:tabs>
        <w:tab w:val="clear" w:pos="360"/>
        <w:tab w:val="left" w:pos="1560" w:leader="none"/>
      </w:tabs>
      <w:spacing w:lineRule="atLeast" w:line="415" w:before="0" w:after="0"/>
      <w:ind w:hanging="720" w:start="1560" w:end="0"/>
    </w:pPr>
    <w:rPr/>
  </w:style>
  <w:style w:type="paragraph" w:styleId="BlockQuotation">
    <w:name w:val="Block Quotation"/>
    <w:basedOn w:val="BodyText"/>
    <w:qFormat/>
    <w:pPr>
      <w:keepLines/>
      <w:ind w:hanging="0" w:start="1440" w:end="36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next w:val="MessageHeaderFirst"/>
    <w:qFormat/>
    <w:pPr>
      <w:widowControl/>
      <w:tabs>
        <w:tab w:val="clear" w:pos="360"/>
        <w:tab w:val="left" w:pos="1800" w:leader="none"/>
      </w:tabs>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MessageHeaderFirst">
    <w:name w:val="Message Header First"/>
    <w:basedOn w:val="MessageHeader"/>
    <w:next w:val="MessageHeader"/>
    <w:qFormat/>
    <w:pPr>
      <w:spacing w:lineRule="auto" w:line="240"/>
      <w:ind w:hanging="720" w:start="1555" w:end="0"/>
    </w:pPr>
    <w:rPr/>
  </w:style>
  <w:style w:type="paragraph" w:styleId="EndnoteText">
    <w:name w:val="endnote text"/>
    <w:basedOn w:val="FootnoteBase"/>
    <w:pPr/>
    <w:rPr>
      <w:rFonts w:ascii="Times New Roman" w:hAnsi="Times New Roman" w:cs="Times New Roman"/>
      <w:sz w:val="16"/>
    </w:rPr>
  </w:style>
  <w:style w:type="paragraph" w:styleId="HeaderBase">
    <w:name w:val="Header Base"/>
    <w:basedOn w:val="BodyText"/>
    <w:qFormat/>
    <w:pPr>
      <w:keepLines/>
      <w:tabs>
        <w:tab w:val="clear" w:pos="360"/>
        <w:tab w:val="left" w:pos="-1080" w:leader="none"/>
        <w:tab w:val="center" w:pos="4320" w:leader="none"/>
        <w:tab w:val="right" w:pos="9720" w:leader="none"/>
      </w:tabs>
      <w:spacing w:before="0" w:after="0"/>
      <w:ind w:hanging="0" w:start="-1080" w:end="-840"/>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HeaderBase"/>
    <w:pPr>
      <w:spacing w:before="420" w:after="0"/>
      <w:ind w:hanging="0" w:start="-1080" w:end="-1080"/>
    </w:pPr>
    <w:rPr>
      <w:rFonts w:ascii="Arial" w:hAnsi="Arial" w:cs="Arial"/>
      <w:b/>
    </w:rPr>
  </w:style>
  <w:style w:type="paragraph" w:styleId="FootnoteText">
    <w:name w:val="footnote text"/>
    <w:basedOn w:val="FootnoteBase"/>
    <w:pPr/>
    <w:rPr/>
  </w:style>
  <w:style w:type="paragraph" w:styleId="Header">
    <w:name w:val="header"/>
    <w:basedOn w:val="HeaderBase"/>
    <w:pPr>
      <w:pBdr/>
      <w:ind w:hanging="0" w:start="-1080" w:end="-1080"/>
    </w:pPr>
    <w:rPr>
      <w:i/>
    </w:rPr>
  </w:style>
  <w:style w:type="paragraph" w:styleId="ListBullet">
    <w:name w:val="List Bullet"/>
    <w:basedOn w:val="List"/>
    <w:qFormat/>
    <w:pPr>
      <w:numPr>
        <w:ilvl w:val="0"/>
        <w:numId w:val="2"/>
      </w:numPr>
      <w:ind w:hanging="360" w:start="1560" w:end="360"/>
    </w:pPr>
    <w:rPr/>
  </w:style>
  <w:style w:type="paragraph" w:styleId="ListNumber">
    <w:name w:val="List Number"/>
    <w:basedOn w:val="List"/>
    <w:qFormat/>
    <w:pPr>
      <w:numPr>
        <w:ilvl w:val="0"/>
        <w:numId w:val="3"/>
      </w:numPr>
      <w:ind w:hanging="360" w:start="1560" w:end="360"/>
    </w:pPr>
    <w:rPr/>
  </w:style>
  <w:style w:type="paragraph" w:styleId="MacroText">
    <w:name w:val="Macro Text"/>
    <w:basedOn w:val="BodyText"/>
    <w:qFormat/>
    <w:pPr>
      <w:spacing w:lineRule="auto" w:line="240"/>
    </w:pPr>
    <w:rPr>
      <w:rFonts w:ascii="Courier New" w:hAnsi="Courier New" w:cs="Courier New"/>
    </w:rPr>
  </w:style>
  <w:style w:type="paragraph" w:styleId="ListBullet51">
    <w:name w:val="List Bullet 51"/>
    <w:basedOn w:val="ListBullet"/>
    <w:qFormat/>
    <w:pPr>
      <w:ind w:hanging="360" w:start="3000" w:end="360"/>
    </w:pPr>
    <w:rPr/>
  </w:style>
  <w:style w:type="paragraph" w:styleId="ListBullet41">
    <w:name w:val="List Bullet 41"/>
    <w:basedOn w:val="ListBullet"/>
    <w:qFormat/>
    <w:pPr>
      <w:ind w:hanging="360" w:start="2640" w:end="360"/>
    </w:pPr>
    <w:rPr/>
  </w:style>
  <w:style w:type="paragraph" w:styleId="Date">
    <w:name w:val="Date"/>
    <w:basedOn w:val="BodyText"/>
    <w:qFormat/>
    <w:pPr>
      <w:spacing w:before="0" w:after="0"/>
    </w:pPr>
    <w:rPr/>
  </w:style>
  <w:style w:type="paragraph" w:styleId="ListBullet31">
    <w:name w:val="List Bullet 31"/>
    <w:basedOn w:val="ListBullet"/>
    <w:qFormat/>
    <w:pPr>
      <w:ind w:hanging="360" w:start="2280" w:end="360"/>
    </w:pPr>
    <w:rPr/>
  </w:style>
  <w:style w:type="paragraph" w:styleId="ListNumber5">
    <w:name w:val="List Number 5"/>
    <w:basedOn w:val="ListNumber"/>
    <w:qFormat/>
    <w:pPr>
      <w:ind w:hanging="360" w:start="3000" w:end="360"/>
    </w:pPr>
    <w:rPr/>
  </w:style>
  <w:style w:type="paragraph" w:styleId="ListNumber4">
    <w:name w:val="List Number 4"/>
    <w:basedOn w:val="ListNumber"/>
    <w:qFormat/>
    <w:pPr>
      <w:ind w:hanging="360" w:start="2640" w:end="360"/>
    </w:pPr>
    <w:rPr/>
  </w:style>
  <w:style w:type="paragraph" w:styleId="ListNumber3">
    <w:name w:val="List Number 3"/>
    <w:basedOn w:val="ListNumber"/>
    <w:qFormat/>
    <w:pPr>
      <w:ind w:hanging="360" w:start="2280" w:end="360"/>
    </w:pPr>
    <w:rPr/>
  </w:style>
  <w:style w:type="paragraph" w:styleId="ListNumber2">
    <w:name w:val="List Number 2"/>
    <w:basedOn w:val="ListNumber"/>
    <w:qFormat/>
    <w:pPr>
      <w:numPr>
        <w:ilvl w:val="0"/>
        <w:numId w:val="4"/>
      </w:numPr>
      <w:ind w:hanging="360" w:start="1920" w:end="360"/>
    </w:pPr>
    <w:rPr/>
  </w:style>
  <w:style w:type="paragraph" w:styleId="ListBullet21">
    <w:name w:val="List Bullet 21"/>
    <w:basedOn w:val="ListBullet"/>
    <w:qFormat/>
    <w:pPr>
      <w:ind w:hanging="360" w:start="1920" w:end="360"/>
    </w:pPr>
    <w:rPr/>
  </w:style>
  <w:style w:type="paragraph" w:styleId="ListBullet5">
    <w:name w:val="List Bullet 5"/>
    <w:basedOn w:val="List"/>
    <w:pPr>
      <w:ind w:hanging="360" w:start="2640" w:end="0"/>
    </w:pPr>
    <w:rPr/>
  </w:style>
  <w:style w:type="paragraph" w:styleId="ListBullet4">
    <w:name w:val="List Bullet 4"/>
    <w:basedOn w:val="List"/>
    <w:pPr>
      <w:ind w:hanging="360" w:start="2280" w:end="0"/>
    </w:pPr>
    <w:rPr/>
  </w:style>
  <w:style w:type="paragraph" w:styleId="ListBullet3">
    <w:name w:val="List Bullet 3"/>
    <w:basedOn w:val="List"/>
    <w:pPr>
      <w:ind w:hanging="360" w:start="1920" w:end="0"/>
    </w:pPr>
    <w:rPr/>
  </w:style>
  <w:style w:type="paragraph" w:styleId="ListBullet2">
    <w:name w:val="List Bullet 2"/>
    <w:basedOn w:val="List"/>
    <w:pPr>
      <w:ind w:hanging="360" w:start="1560" w:end="0"/>
    </w:pPr>
    <w:rPr/>
  </w:style>
  <w:style w:type="paragraph" w:styleId="Closing">
    <w:name w:val="Closing"/>
    <w:basedOn w:val="Normal"/>
    <w:qFormat/>
    <w:pPr>
      <w:spacing w:lineRule="atLeast" w:line="220"/>
    </w:pPr>
    <w:rPr/>
  </w:style>
  <w:style w:type="paragraph" w:styleId="CommentText">
    <w:name w:val="Comment Text"/>
    <w:basedOn w:val="FootnoteBase"/>
    <w:qFormat/>
    <w:pPr/>
    <w:rPr>
      <w:rFonts w:ascii="Times New Roman" w:hAnsi="Times New Roman" w:cs="Times New Roman"/>
      <w:sz w:val="16"/>
    </w:rPr>
  </w:style>
  <w:style w:type="paragraph" w:styleId="BodyTextIndent">
    <w:name w:val="Body Text Indent"/>
    <w:basedOn w:val="BodyText"/>
    <w:pPr>
      <w:spacing w:lineRule="auto" w:line="240" w:before="240" w:after="0"/>
      <w:ind w:hanging="0" w:start="1440" w:end="0"/>
    </w:pPr>
    <w:rPr/>
  </w:style>
  <w:style w:type="paragraph" w:styleId="NormalIndent">
    <w:name w:val="Normal Indent"/>
    <w:basedOn w:val="Normal"/>
    <w:qFormat/>
    <w:pPr>
      <w:spacing w:before="240" w:after="0"/>
      <w:ind w:hanging="0" w:start="720" w:end="720"/>
    </w:pPr>
    <w:rPr/>
  </w:style>
  <w:style w:type="paragraph" w:styleId="ListContinue">
    <w:name w:val="List Continue"/>
    <w:basedOn w:val="List"/>
    <w:qFormat/>
    <w:pPr>
      <w:ind w:hanging="0" w:start="1200" w:end="480"/>
    </w:pPr>
    <w:rPr/>
  </w:style>
  <w:style w:type="paragraph" w:styleId="ListContinue2">
    <w:name w:val="List Continue 2"/>
    <w:basedOn w:val="ListContinue"/>
    <w:qFormat/>
    <w:pPr>
      <w:ind w:hanging="0" w:start="1800" w:end="480"/>
    </w:pPr>
    <w:rPr/>
  </w:style>
  <w:style w:type="paragraph" w:styleId="ListContinue3">
    <w:name w:val="List Continue 3"/>
    <w:basedOn w:val="ListContinue"/>
    <w:qFormat/>
    <w:pPr>
      <w:ind w:hanging="0" w:start="2160" w:end="480"/>
    </w:pPr>
    <w:rPr/>
  </w:style>
  <w:style w:type="paragraph" w:styleId="ListContinue4">
    <w:name w:val="List Continue 4"/>
    <w:basedOn w:val="ListContinue"/>
    <w:qFormat/>
    <w:pPr>
      <w:ind w:hanging="0" w:start="2520" w:end="480"/>
    </w:pPr>
    <w:rPr/>
  </w:style>
  <w:style w:type="paragraph" w:styleId="ListContinue5">
    <w:name w:val="List Continue 5"/>
    <w:basedOn w:val="ListContinue"/>
    <w:qFormat/>
    <w:pPr>
      <w:ind w:hanging="0" w:start="2880" w:end="480"/>
    </w:pPr>
    <w:rPr/>
  </w:style>
  <w:style w:type="paragraph" w:styleId="CompanyName">
    <w:name w:val="Company Name"/>
    <w:basedOn w:val="Normal"/>
    <w:next w:val="ReturnAddress"/>
    <w:qFormat/>
    <w:pPr>
      <w:keepLines/>
      <w:spacing w:lineRule="atLeast" w:line="200"/>
      <w:ind w:hanging="0" w:start="0" w:end="-120"/>
    </w:pPr>
    <w:rPr>
      <w:sz w:val="16"/>
    </w:rPr>
  </w:style>
  <w:style w:type="paragraph" w:styleId="Enclosure">
    <w:name w:val="Enclosure"/>
    <w:basedOn w:val="BodyText"/>
    <w:next w:val="Normal"/>
    <w:qFormat/>
    <w:pPr>
      <w:keepLines/>
      <w:spacing w:before="220" w:after="220"/>
    </w:pPr>
    <w:rPr/>
  </w:style>
  <w:style w:type="paragraph" w:styleId="ReferenceInitials">
    <w:name w:val="Reference Initials"/>
    <w:basedOn w:val="BodyText"/>
    <w:next w:val="Enclosure"/>
    <w:qFormat/>
    <w:pPr>
      <w:keepNext w:val="true"/>
      <w:keepLines/>
      <w:spacing w:before="0" w:after="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ReferenceInitials"/>
    <w:qFormat/>
    <w:pPr>
      <w:spacing w:before="0" w:after="0"/>
      <w:ind w:hanging="0" w:start="0" w:end="0"/>
    </w:pPr>
    <w:rPr/>
  </w:style>
  <w:style w:type="paragraph" w:styleId="SignatureName">
    <w:name w:val="Signature Name"/>
    <w:basedOn w:val="Signature"/>
    <w:next w:val="SignatureJobTitle"/>
    <w:qFormat/>
    <w:pPr>
      <w:spacing w:before="720" w:after="0"/>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EnvelopeAddress">
    <w:name w:val="envelope address"/>
    <w:basedOn w:val="BodyText"/>
    <w:pPr>
      <w:spacing w:before="0" w:after="0"/>
      <w:ind w:hanging="0" w:start="2880" w:end="0"/>
    </w:pPr>
    <w:rPr/>
  </w:style>
  <w:style w:type="paragraph" w:styleId="EnvelopeReturn">
    <w:name w:val="envelope return"/>
    <w:basedOn w:val="BodyText"/>
    <w:pPr>
      <w:spacing w:before="0" w:after="0"/>
      <w:ind w:hanging="0" w:start="0" w:end="0"/>
    </w:pPr>
    <w:rPr/>
  </w:style>
  <w:style w:type="paragraph" w:styleId="Paragraph">
    <w:name w:val="Paragraph"/>
    <w:basedOn w:val="Normal"/>
    <w:qFormat/>
    <w:pPr>
      <w:spacing w:before="240" w:after="0"/>
      <w:ind w:firstLine="720" w:start="0" w:end="0"/>
    </w:pPr>
    <w:rPr/>
  </w:style>
  <w:style w:type="paragraph" w:styleId="HeaderLeft">
    <w:name w:val="Header Left"/>
    <w:basedOn w:val="Header"/>
    <w:qFormat/>
    <w:pPr>
      <w:suppressLineNumbers/>
      <w:tabs>
        <w:tab w:val="clear" w:pos="-1080"/>
        <w:tab w:val="clear" w:pos="9720"/>
        <w:tab w:val="center" w:pos="4320" w:leader="none"/>
        <w:tab w:val="right" w:pos="8640" w:leader="none"/>
      </w:tabs>
    </w:pPr>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Basic Memo.dot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2000-12-07T20:07:00Z</dcterms:created>
  <dc:creator>Craig R. Carver</dc:creator>
  <dc:description/>
  <dc:language>en-CA</dc:language>
  <cp:lastModifiedBy>Craig R. Carver</cp:lastModifiedBy>
  <cp:lastPrinted>2000-12-07T19:08:00Z</cp:lastPrinted>
  <dcterms:modified xsi:type="dcterms:W3CDTF">2000-12-07T23:49:00Z</dcterms:modified>
  <cp:revision>1</cp:revision>
  <dc:subject/>
  <dc:title>Contemporary Memo</dc:title>
</cp:coreProperties>
</file>