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Heading3"/>
        <w:ind w:hanging="0" w:start="0"/>
        <w:jc w:val="start"/>
        <w:rPr>
          <w:b/>
          <w:sz w:val="22"/>
        </w:rPr>
      </w:pPr>
      <w:r>
        <w:rPr>
          <w:b/>
          <w:sz w:val="22"/>
        </w:rPr>
        <w:t>Certified Mail</w:t>
      </w:r>
    </w:p>
    <w:p>
      <w:pPr>
        <w:pStyle w:val="Normal"/>
        <w:rPr>
          <w:b/>
          <w:sz w:val="22"/>
        </w:rPr>
      </w:pPr>
      <w:r>
        <w:rPr>
          <w:b/>
          <w:sz w:val="22"/>
        </w:rPr>
        <w:t>Return Receipt Requested</w:t>
      </w:r>
    </w:p>
    <w:p>
      <w:pPr>
        <w:pStyle w:val="Normal"/>
        <w:rPr>
          <w:b/>
          <w:sz w:val="22"/>
        </w:rPr>
      </w:pPr>
      <w:r>
        <w:rPr>
          <w:b/>
          <w:sz w:val="22"/>
        </w:rPr>
      </w:r>
    </w:p>
    <w:p>
      <w:pPr>
        <w:pStyle w:val="Normal"/>
        <w:rPr>
          <w:sz w:val="22"/>
        </w:rPr>
      </w:pPr>
      <w:r>
        <w:rPr>
          <w:sz w:val="22"/>
        </w:rPr>
      </w:r>
    </w:p>
    <w:p>
      <w:pPr>
        <w:pStyle w:val="Heading1"/>
        <w:ind w:hanging="0" w:start="0"/>
        <w:rPr>
          <w:sz w:val="22"/>
        </w:rPr>
      </w:pPr>
      <w:r>
        <w:rPr>
          <w:sz w:val="22"/>
        </w:rPr>
        <w:t>July 28, 2000</w:t>
      </w:r>
    </w:p>
    <w:p>
      <w:pPr>
        <w:pStyle w:val="Normal"/>
        <w:rPr>
          <w:sz w:val="22"/>
        </w:rPr>
      </w:pPr>
      <w:r>
        <w:rPr>
          <w:sz w:val="22"/>
        </w:rPr>
      </w:r>
    </w:p>
    <w:p>
      <w:pPr>
        <w:pStyle w:val="Normal"/>
        <w:jc w:val="both"/>
        <w:rPr>
          <w:sz w:val="22"/>
        </w:rPr>
      </w:pPr>
      <w:r>
        <w:rPr>
          <w:sz w:val="22"/>
        </w:rPr>
      </w:r>
    </w:p>
    <w:p>
      <w:pPr>
        <w:pStyle w:val="Normal"/>
        <w:jc w:val="both"/>
        <w:rPr>
          <w:sz w:val="22"/>
        </w:rPr>
      </w:pPr>
      <w:r>
        <w:rPr>
          <w:sz w:val="22"/>
        </w:rPr>
      </w:r>
    </w:p>
    <w:p>
      <w:pPr>
        <w:pStyle w:val="Heading2"/>
        <w:ind w:hanging="0" w:start="0"/>
        <w:rPr>
          <w:sz w:val="22"/>
        </w:rPr>
      </w:pPr>
      <w:r>
        <w:rPr>
          <w:sz w:val="22"/>
        </w:rPr>
        <w:t>Mr. Kent Harris</w:t>
      </w:r>
    </w:p>
    <w:p>
      <w:pPr>
        <w:pStyle w:val="Normal"/>
        <w:jc w:val="both"/>
        <w:rPr>
          <w:sz w:val="22"/>
        </w:rPr>
      </w:pPr>
      <w:r>
        <w:rPr>
          <w:sz w:val="22"/>
        </w:rPr>
        <w:t>Wildhorse Energy Partners, LLC</w:t>
      </w:r>
    </w:p>
    <w:p>
      <w:pPr>
        <w:pStyle w:val="Normal"/>
        <w:jc w:val="both"/>
        <w:rPr>
          <w:sz w:val="22"/>
        </w:rPr>
      </w:pPr>
      <w:r>
        <w:rPr>
          <w:sz w:val="22"/>
        </w:rPr>
        <w:t>370 VanGordin</w:t>
      </w:r>
    </w:p>
    <w:p>
      <w:pPr>
        <w:pStyle w:val="Normal"/>
        <w:jc w:val="both"/>
        <w:rPr>
          <w:sz w:val="22"/>
        </w:rPr>
      </w:pPr>
      <w:r>
        <w:rPr>
          <w:sz w:val="22"/>
        </w:rPr>
        <w:t>P.O. Box 281304</w:t>
      </w:r>
    </w:p>
    <w:p>
      <w:pPr>
        <w:pStyle w:val="Normal"/>
        <w:jc w:val="both"/>
        <w:rPr>
          <w:sz w:val="22"/>
        </w:rPr>
      </w:pPr>
      <w:r>
        <w:rPr>
          <w:sz w:val="22"/>
        </w:rPr>
        <w:t>Lakewood, CO 80228-8304</w:t>
      </w:r>
    </w:p>
    <w:p>
      <w:pPr>
        <w:pStyle w:val="Normal"/>
        <w:jc w:val="both"/>
        <w:rPr>
          <w:sz w:val="22"/>
        </w:rPr>
      </w:pPr>
      <w:r>
        <w:rPr>
          <w:sz w:val="22"/>
        </w:rPr>
      </w:r>
    </w:p>
    <w:p>
      <w:pPr>
        <w:pStyle w:val="Normal"/>
        <w:jc w:val="both"/>
        <w:rPr>
          <w:sz w:val="22"/>
        </w:rPr>
      </w:pPr>
      <w:r>
        <w:rPr>
          <w:sz w:val="22"/>
        </w:rPr>
        <w:t>Re:</w:t>
        <w:tab/>
        <w:t>Gathering, Processing, and Transportation Agreement between Wildhorse Energy Partners, LLC (“Wildhorse”) and Crescendo Energy, LLC (“Crescendo”) as assignee of NG Resources Corporation (“NG”) dated October 19, 1993, as amended on August 4, 1994 (the “Gathering Agreement”).</w:t>
      </w:r>
    </w:p>
    <w:p>
      <w:pPr>
        <w:pStyle w:val="Normal"/>
        <w:jc w:val="both"/>
        <w:rPr>
          <w:sz w:val="22"/>
        </w:rPr>
      </w:pPr>
      <w:r>
        <w:rPr>
          <w:sz w:val="22"/>
        </w:rPr>
      </w:r>
    </w:p>
    <w:p>
      <w:pPr>
        <w:pStyle w:val="Normal"/>
        <w:jc w:val="both"/>
        <w:rPr>
          <w:sz w:val="22"/>
        </w:rPr>
      </w:pPr>
      <w:r>
        <w:rPr>
          <w:sz w:val="22"/>
        </w:rPr>
        <w:t>Dear Mr. Harris:</w:t>
      </w:r>
    </w:p>
    <w:p>
      <w:pPr>
        <w:pStyle w:val="Normal"/>
        <w:jc w:val="both"/>
        <w:rPr>
          <w:sz w:val="22"/>
        </w:rPr>
      </w:pPr>
      <w:r>
        <w:rPr>
          <w:sz w:val="22"/>
        </w:rPr>
      </w:r>
    </w:p>
    <w:p>
      <w:pPr>
        <w:pStyle w:val="Normal"/>
        <w:jc w:val="both"/>
        <w:rPr>
          <w:sz w:val="22"/>
        </w:rPr>
      </w:pPr>
      <w:r>
        <w:rPr>
          <w:sz w:val="22"/>
        </w:rPr>
        <w:tab/>
        <w:t xml:space="preserve">Crescendo hereby notifies Wildhorse that Crescendo has purchased all of NG’s interest in the properties described in Exhibit “A” to the Gathering Agreement, which includes the “Entrada Production” and the “Dakota Production” as such are defined under the Gathering Agreement.  NG has assigned the Gathering Agreement to Crescendo.  NG had previously purchased such interest from Enogex Exploration Corporation.  </w:t>
      </w:r>
    </w:p>
    <w:p>
      <w:pPr>
        <w:pStyle w:val="Normal"/>
        <w:jc w:val="both"/>
        <w:rPr>
          <w:sz w:val="22"/>
        </w:rPr>
      </w:pPr>
      <w:r>
        <w:rPr>
          <w:sz w:val="22"/>
        </w:rPr>
      </w:r>
    </w:p>
    <w:p>
      <w:pPr>
        <w:pStyle w:val="Normal"/>
        <w:jc w:val="both"/>
        <w:rPr>
          <w:sz w:val="22"/>
        </w:rPr>
      </w:pPr>
      <w:r>
        <w:rPr>
          <w:sz w:val="22"/>
        </w:rPr>
        <w:t xml:space="preserve">Please be advised that Crescendo plans to install a treating facility (the “Treating Plant”) to treat the Entrada Production, which will result in the Entrada Production meeting the gas quality of the downstream carrier, Northwest Pipeline Company and/or Questar Pipeline.  The Treating Plant is expected to be operational by July 1, 2001.  </w:t>
      </w:r>
    </w:p>
    <w:p>
      <w:pPr>
        <w:pStyle w:val="Normal"/>
        <w:jc w:val="both"/>
        <w:rPr>
          <w:sz w:val="22"/>
        </w:rPr>
      </w:pPr>
      <w:r>
        <w:rPr>
          <w:sz w:val="22"/>
        </w:rPr>
      </w:r>
    </w:p>
    <w:p>
      <w:pPr>
        <w:pStyle w:val="Normal"/>
        <w:jc w:val="both"/>
        <w:rPr>
          <w:sz w:val="22"/>
        </w:rPr>
      </w:pPr>
      <w:r>
        <w:rPr>
          <w:sz w:val="22"/>
        </w:rPr>
        <w:t xml:space="preserve">Crescendo’s plans to install the Treating Plant raise a number of issues regarding the Gathering Agreement that need to be resolved as soon as possible.  </w:t>
      </w:r>
    </w:p>
    <w:p>
      <w:pPr>
        <w:pStyle w:val="Normal"/>
        <w:jc w:val="both"/>
        <w:rPr>
          <w:sz w:val="22"/>
        </w:rPr>
      </w:pPr>
      <w:r>
        <w:rPr>
          <w:sz w:val="22"/>
        </w:rPr>
      </w:r>
    </w:p>
    <w:p>
      <w:pPr>
        <w:pStyle w:val="Normal"/>
        <w:jc w:val="both"/>
        <w:rPr>
          <w:sz w:val="22"/>
        </w:rPr>
      </w:pPr>
      <w:r>
        <w:rPr>
          <w:sz w:val="22"/>
        </w:rPr>
        <w:t>First, we request clarification from Wildhorse as to whether the August 4, 1994 amendment (the “Amendment”) covers all of Crescendo’s Entrada Production and Dakota Production, or only a portion.  The files we inherited from our predecessors-in-interest indicate that only 50% of both the Entrada Production and the Dakota Production are covered under the Amendment.  We would appreciate receiving any information that Wildhorse may have concerning the Amendment’s coverage.</w:t>
      </w:r>
    </w:p>
    <w:p>
      <w:pPr>
        <w:pStyle w:val="Normal"/>
        <w:jc w:val="both"/>
        <w:rPr>
          <w:sz w:val="22"/>
        </w:rPr>
      </w:pPr>
      <w:r>
        <w:rPr>
          <w:sz w:val="22"/>
        </w:rPr>
      </w:r>
    </w:p>
    <w:p>
      <w:pPr>
        <w:pStyle w:val="Normal"/>
        <w:jc w:val="both"/>
        <w:rPr>
          <w:sz w:val="22"/>
        </w:rPr>
      </w:pPr>
      <w:r>
        <w:rPr>
          <w:sz w:val="22"/>
        </w:rPr>
        <w:t xml:space="preserve">Second, in accordance with Section 7 of the Gathering Agreement, Crescendo would ordinarily expect Wildhorse to accept all Entrada Production delivered by Crescendo in accordance with the terms and conditions of the Gathering Agreement upon startup of the Treating Plant. However, based upon Crescendo’s discussions (through Crescendo’s representative, Dan Bump with Enron North America Corp.) to date with Wildhorse, Crescendo understands Wildhorse’s position to be that gathering of the portion of the treated Entrada Production which is subject to the Amendment is unprofitable in accordance with Section 13 “Unprofitability” of the amended Gathering Agreement.  If Crescendo does not receive a contrary response in writing from Wildhorse by August 4, 2000, Crescendo shall deem Wildhorse to have declared gathering of that portion of treated Entrada Production as “unprofitable”. </w:t>
      </w:r>
    </w:p>
    <w:p>
      <w:pPr>
        <w:pStyle w:val="Normal"/>
        <w:jc w:val="both"/>
        <w:rPr>
          <w:sz w:val="22"/>
        </w:rPr>
      </w:pPr>
      <w:r>
        <w:rPr>
          <w:sz w:val="22"/>
        </w:rPr>
      </w:r>
    </w:p>
    <w:p>
      <w:pPr>
        <w:pStyle w:val="BodyText"/>
        <w:rPr>
          <w:sz w:val="22"/>
        </w:rPr>
      </w:pPr>
      <w:r>
        <w:rPr>
          <w:sz w:val="22"/>
        </w:rPr>
        <w:t>Since Wildhorse has declared “unprofitability” in accordance with Section 13 “Unprofitability” of the Gathering Agreement, Crescendo proposes to meet with Wildhorse at your earliest convenience to discuss alternatives to the terms and conditions of the Gathering Agreement with respect to the portion of Entrada Production that is covered by the Amendment, including release of such Entrada Production from the terms and provisions of the Gathering Agreement.  Crescendo would also be willing to discuss that portion of the Entrada Production not covered by the Amendment as part of any such alternatives.</w:t>
      </w:r>
    </w:p>
    <w:p>
      <w:pPr>
        <w:pStyle w:val="BodyText"/>
        <w:rPr>
          <w:sz w:val="22"/>
        </w:rPr>
      </w:pPr>
      <w:r>
        <w:rPr>
          <w:sz w:val="22"/>
        </w:rPr>
      </w:r>
    </w:p>
    <w:p>
      <w:pPr>
        <w:pStyle w:val="BodyText"/>
        <w:rPr>
          <w:sz w:val="22"/>
        </w:rPr>
      </w:pPr>
      <w:r>
        <w:rPr>
          <w:sz w:val="22"/>
        </w:rPr>
        <w:t>Wildhorse’s declaration of “unprofitability” has had the effect of requiring Crescendo to evaluate all alternatives available to it to get its gas to market.  The first, and most attractive, alternative would be for Crescendo to obtain assurances from Wildhorse (in the form of a renegotiated gathering agreement) that Wildhorse will be obligated to gather all of Crescendo’s Entrada gas under terms that are commercially acceptable to Crescendo.  Should we be unable to negotiate such an arrangement, then Crescendo will have to pursue alternative arrangements for the gathering of the Entrada Production into the Treating Plant.  The lead times involved in such alternative arrangements require us to make certain commitments by no later than September 1, 2000, if we are to have alternative gathering arrangements in place by the time that the Treating Plant is operational.  Failure to adhere to this timetable would adversely affect Crescendo’s revenues and could, in addition, create problems with regard to Crescendo’s obligations to its royalty owners.</w:t>
      </w:r>
    </w:p>
    <w:p>
      <w:pPr>
        <w:pStyle w:val="BodyText"/>
        <w:rPr>
          <w:sz w:val="22"/>
        </w:rPr>
      </w:pPr>
      <w:r>
        <w:rPr>
          <w:sz w:val="22"/>
        </w:rPr>
      </w:r>
    </w:p>
    <w:p>
      <w:pPr>
        <w:pStyle w:val="BodyText"/>
        <w:rPr>
          <w:sz w:val="22"/>
        </w:rPr>
      </w:pPr>
      <w:r>
        <w:rPr>
          <w:sz w:val="22"/>
        </w:rPr>
        <w:t>Consequently, Crescendo is eager to meet with Wildhorse to resolve these issues.  Crescendo and proposes a time frame of 2 weeks starting from August 4, 2000 during which both Crescendo and Wildhorse would negotiate and reach a acceptable resolution on the Entrada Production within a commercially reasonable time.</w:t>
      </w:r>
    </w:p>
    <w:p>
      <w:pPr>
        <w:pStyle w:val="BodyText"/>
        <w:rPr>
          <w:sz w:val="22"/>
        </w:rPr>
      </w:pPr>
      <w:r>
        <w:rPr>
          <w:sz w:val="22"/>
        </w:rPr>
      </w:r>
    </w:p>
    <w:p>
      <w:pPr>
        <w:pStyle w:val="BodyText"/>
        <w:rPr>
          <w:sz w:val="22"/>
        </w:rPr>
      </w:pPr>
      <w:r>
        <w:rPr>
          <w:sz w:val="22"/>
        </w:rPr>
        <w:t xml:space="preserve">Looking forward to discussing these issues and your prompt response.  </w:t>
      </w:r>
    </w:p>
    <w:p>
      <w:pPr>
        <w:pStyle w:val="Normal"/>
        <w:jc w:val="both"/>
        <w:rPr>
          <w:sz w:val="22"/>
        </w:rPr>
      </w:pPr>
      <w:r>
        <w:rPr>
          <w:sz w:val="22"/>
        </w:rPr>
      </w:r>
    </w:p>
    <w:p>
      <w:pPr>
        <w:pStyle w:val="Normal"/>
        <w:jc w:val="both"/>
        <w:rPr>
          <w:sz w:val="22"/>
        </w:rPr>
      </w:pPr>
      <w:r>
        <w:rPr>
          <w:sz w:val="22"/>
        </w:rPr>
        <w:t xml:space="preserve">  </w:t>
      </w:r>
    </w:p>
    <w:p>
      <w:pPr>
        <w:pStyle w:val="Normal"/>
        <w:jc w:val="both"/>
        <w:rPr>
          <w:sz w:val="22"/>
        </w:rPr>
      </w:pPr>
      <w:r>
        <w:rPr>
          <w:sz w:val="22"/>
        </w:rPr>
        <w:tab/>
        <w:tab/>
        <w:tab/>
        <w:tab/>
        <w:tab/>
        <w:tab/>
        <w:t>Sincerely,</w:t>
      </w:r>
    </w:p>
    <w:p>
      <w:pPr>
        <w:pStyle w:val="Normal"/>
        <w:jc w:val="both"/>
        <w:rPr>
          <w:sz w:val="22"/>
        </w:rPr>
      </w:pPr>
      <w:r>
        <w:rPr>
          <w:sz w:val="22"/>
        </w:rPr>
      </w:r>
    </w:p>
    <w:p>
      <w:pPr>
        <w:pStyle w:val="Normal"/>
        <w:jc w:val="both"/>
        <w:rPr>
          <w:sz w:val="22"/>
        </w:rPr>
      </w:pPr>
      <w:r>
        <w:rPr>
          <w:sz w:val="22"/>
        </w:rPr>
        <w:tab/>
        <w:tab/>
        <w:tab/>
        <w:tab/>
        <w:tab/>
        <w:tab/>
        <w:t>____________________________</w:t>
      </w:r>
    </w:p>
    <w:p>
      <w:pPr>
        <w:pStyle w:val="Normal"/>
        <w:jc w:val="both"/>
        <w:rPr>
          <w:sz w:val="22"/>
        </w:rPr>
      </w:pPr>
      <w:r>
        <w:rPr>
          <w:sz w:val="22"/>
        </w:rPr>
        <w:tab/>
        <w:tab/>
        <w:tab/>
        <w:tab/>
        <w:tab/>
        <w:tab/>
        <w:t>Kenneth C. Krisa, President</w:t>
      </w:r>
    </w:p>
    <w:p>
      <w:pPr>
        <w:pStyle w:val="Normal"/>
        <w:jc w:val="both"/>
        <w:rPr>
          <w:sz w:val="22"/>
        </w:rPr>
      </w:pPr>
      <w:r>
        <w:rPr>
          <w:sz w:val="22"/>
        </w:rPr>
        <w:tab/>
        <w:tab/>
        <w:tab/>
        <w:tab/>
        <w:tab/>
        <w:tab/>
        <w:t>Crescendo Energy Partners, LLC</w:t>
      </w:r>
    </w:p>
    <w:p>
      <w:pPr>
        <w:pStyle w:val="Normal"/>
        <w:ind w:start="5040" w:end="0"/>
        <w:jc w:val="both"/>
        <w:rPr>
          <w:sz w:val="22"/>
        </w:rPr>
      </w:pPr>
      <w:r>
        <w:rPr>
          <w:sz w:val="22"/>
        </w:rPr>
        <w:t>Managing Member of Crescendo Energy, LLC</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Cc:</w:t>
        <w:tab/>
        <w:t>Carter Mathies (Wildhorse Operating Team)</w:t>
      </w:r>
    </w:p>
    <w:p>
      <w:pPr>
        <w:pStyle w:val="Normal"/>
        <w:jc w:val="both"/>
        <w:rPr>
          <w:sz w:val="22"/>
        </w:rPr>
      </w:pPr>
      <w:r>
        <w:rPr>
          <w:sz w:val="22"/>
        </w:rPr>
        <w:tab/>
        <w:t>Tom Dyk (Wildhorse Operating Team)</w:t>
      </w:r>
    </w:p>
    <w:p>
      <w:pPr>
        <w:pStyle w:val="Normal"/>
        <w:jc w:val="both"/>
        <w:rPr>
          <w:sz w:val="22"/>
        </w:rPr>
      </w:pPr>
      <w:r>
        <w:rPr>
          <w:sz w:val="22"/>
        </w:rPr>
        <w:tab/>
        <w:t>Pete Scherer (Wildhorse Operating Team)</w:t>
      </w:r>
    </w:p>
    <w:p>
      <w:pPr>
        <w:pStyle w:val="Normal"/>
        <w:jc w:val="both"/>
        <w:rPr>
          <w:sz w:val="22"/>
        </w:rPr>
      </w:pPr>
      <w:r>
        <w:rPr>
          <w:sz w:val="22"/>
        </w:rPr>
        <w:tab/>
        <w:t>Don Opersteny (Wildhorse Operating Team)</w:t>
      </w:r>
    </w:p>
    <w:p>
      <w:pPr>
        <w:pStyle w:val="Normal"/>
        <w:jc w:val="both"/>
        <w:rPr>
          <w:sz w:val="22"/>
        </w:rPr>
      </w:pPr>
      <w:r>
        <w:rPr>
          <w:sz w:val="22"/>
        </w:rPr>
        <w:tab/>
        <w:t>Steve Huckaby  (Wildhorse)</w:t>
      </w:r>
    </w:p>
    <w:p>
      <w:pPr>
        <w:pStyle w:val="Normal"/>
        <w:jc w:val="both"/>
        <w:rPr>
          <w:sz w:val="22"/>
        </w:rPr>
      </w:pPr>
      <w:r>
        <w:rPr>
          <w:sz w:val="22"/>
        </w:rPr>
        <w:tab/>
        <w:t>Scott Josey (Enron North America Corp.)</w:t>
      </w:r>
    </w:p>
    <w:p>
      <w:pPr>
        <w:pStyle w:val="Normal"/>
        <w:jc w:val="both"/>
        <w:rPr>
          <w:sz w:val="22"/>
        </w:rPr>
      </w:pPr>
      <w:r>
        <w:rPr>
          <w:sz w:val="22"/>
        </w:rPr>
        <w:tab/>
        <w:t>Brian Redmond (Enron North America Corp.)</w:t>
      </w:r>
    </w:p>
    <w:p>
      <w:pPr>
        <w:pStyle w:val="Normal"/>
        <w:jc w:val="both"/>
        <w:rPr>
          <w:sz w:val="22"/>
        </w:rPr>
      </w:pPr>
      <w:r>
        <w:rPr>
          <w:sz w:val="22"/>
        </w:rPr>
        <w:tab/>
        <w:t>Dan Bump (Enron North America Corp.)</w:t>
      </w:r>
    </w:p>
    <w:p>
      <w:pPr>
        <w:pStyle w:val="Normal"/>
        <w:jc w:val="both"/>
        <w:rPr>
          <w:sz w:val="24"/>
        </w:rPr>
      </w:pPr>
      <w:r>
        <w:rPr>
          <w:sz w:val="22"/>
        </w:rPr>
        <w:tab/>
        <w:t>Gerald Nemec (Enron North America Corp.)</w:t>
      </w:r>
    </w:p>
    <w:p>
      <w:pPr>
        <w:pStyle w:val="Normal"/>
        <w:jc w:val="both"/>
        <w:rPr>
          <w:sz w:val="24"/>
        </w:rPr>
      </w:pPr>
      <w:r>
        <w:rPr>
          <w:sz w:val="24"/>
        </w:rPr>
      </w:r>
    </w:p>
    <w:sectPr>
      <w:headerReference w:type="default" r:id="rId2"/>
      <w:headerReference w:type="first" r:id="rId3"/>
      <w:footerReference w:type="default" r:id="rId4"/>
      <w:footerReference w:type="first" r:id="rId5"/>
      <w:type w:val="nextPage"/>
      <w:pgSz w:w="12240" w:h="15840"/>
      <w:pgMar w:left="1800" w:right="1800" w:gutter="0" w:header="720" w:top="1440" w:footer="100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/mnt/main-storage/datasets/enron-docs/doc/Wildhorse3.doc</w:t>
    </w:r>
    <w:r>
      <w:rPr>
        <w:sz w:val="14"/>
      </w:rPr>
      <w:fldChar w:fldCharType="end"/>
    </w:r>
    <w:r>
      <w:rPr>
        <w:sz w:val="14"/>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Crescendo Energy, LLC</w:t>
    </w:r>
  </w:p>
  <w:p>
    <w:pPr>
      <w:pStyle w:val="Header"/>
      <w:jc w:val="end"/>
      <w:rPr/>
    </w:pPr>
    <w:r>
      <w:rPr/>
      <w:t>1031 Andrews Highway, Suite 211</w:t>
    </w:r>
  </w:p>
  <w:p>
    <w:pPr>
      <w:pStyle w:val="Header"/>
      <w:jc w:val="end"/>
      <w:rPr/>
    </w:pPr>
    <w:r>
      <w:rPr/>
      <w:t>Midland, TX 79701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2000-07-27T19:46:00Z</dcterms:created>
  <dc:creator>Pat Radford</dc:creator>
  <dc:description/>
  <dc:language>en-CA</dc:language>
  <cp:lastModifiedBy>gnemec</cp:lastModifiedBy>
  <cp:lastPrinted>2000-07-28T11:32:00Z</cp:lastPrinted>
  <dcterms:modified xsi:type="dcterms:W3CDTF">2000-07-28T14:07:00Z</dcterms:modified>
  <cp:revision>37</cp:revision>
  <dc:subject/>
  <dc:title>November 11, 1998</dc:title>
</cp:coreProperties>
</file>