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bCs/>
        </w:rPr>
      </w:pPr>
      <w:r>
        <w:rPr>
          <w:b/>
          <w:bCs/>
        </w:rPr>
        <w:t>Certified Mail</w:t>
      </w:r>
    </w:p>
    <w:p>
      <w:pPr>
        <w:pStyle w:val="Normal"/>
        <w:jc w:val="end"/>
        <w:rPr>
          <w:b/>
          <w:bCs/>
          <w:sz w:val="24"/>
        </w:rPr>
      </w:pPr>
      <w:r>
        <w:rPr>
          <w:b/>
          <w:bCs/>
          <w:sz w:val="24"/>
        </w:rPr>
        <w:t>Return Receipt Requested</w:t>
      </w:r>
    </w:p>
    <w:p>
      <w:pPr>
        <w:pStyle w:val="Normal"/>
        <w:rPr>
          <w:b/>
          <w:bCs/>
          <w:sz w:val="24"/>
        </w:rPr>
      </w:pPr>
      <w:r>
        <w:rPr>
          <w:b/>
          <w:bCs/>
          <w:sz w:val="24"/>
        </w:rPr>
      </w:r>
    </w:p>
    <w:p>
      <w:pPr>
        <w:pStyle w:val="Normal"/>
        <w:rPr>
          <w:sz w:val="24"/>
        </w:rPr>
      </w:pPr>
      <w:r>
        <w:rPr>
          <w:sz w:val="24"/>
        </w:rPr>
      </w:r>
    </w:p>
    <w:p>
      <w:pPr>
        <w:pStyle w:val="Heading1"/>
        <w:ind w:hanging="0" w:start="0"/>
        <w:rPr/>
      </w:pPr>
      <w:r>
        <w:rPr/>
        <w:t>July 24,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Mr. ________</w:t>
      </w:r>
    </w:p>
    <w:p>
      <w:pPr>
        <w:pStyle w:val="Normal"/>
        <w:jc w:val="both"/>
        <w:rPr>
          <w:sz w:val="24"/>
        </w:rPr>
      </w:pPr>
      <w:r>
        <w:rPr>
          <w:sz w:val="24"/>
        </w:rPr>
        <w:t>Wildhorse Energy Partners, LLC</w:t>
      </w:r>
    </w:p>
    <w:p>
      <w:pPr>
        <w:pStyle w:val="Normal"/>
        <w:jc w:val="both"/>
        <w:rPr>
          <w:sz w:val="24"/>
        </w:rPr>
      </w:pPr>
      <w:r>
        <w:rPr>
          <w:sz w:val="24"/>
        </w:rPr>
      </w:r>
    </w:p>
    <w:p>
      <w:pPr>
        <w:pStyle w:val="Normal"/>
        <w:jc w:val="both"/>
        <w:rPr>
          <w:sz w:val="24"/>
        </w:rPr>
      </w:pPr>
      <w:r>
        <w:rPr>
          <w:sz w:val="24"/>
        </w:rPr>
        <w:t>Denver, Colorado</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(“Enogex”) dated October 19, 1993, as amended on August 4, 1994 (the “Gathering Agreement”).</w:t>
      </w:r>
    </w:p>
    <w:p>
      <w:pPr>
        <w:pStyle w:val="Normal"/>
        <w:jc w:val="both"/>
        <w:rPr>
          <w:sz w:val="24"/>
        </w:rPr>
      </w:pPr>
      <w:r>
        <w:rPr>
          <w:sz w:val="24"/>
        </w:rPr>
      </w:r>
    </w:p>
    <w:p>
      <w:pPr>
        <w:pStyle w:val="Normal"/>
        <w:jc w:val="both"/>
        <w:rPr>
          <w:sz w:val="24"/>
        </w:rPr>
      </w:pPr>
      <w:r>
        <w:rPr>
          <w:sz w:val="24"/>
        </w:rPr>
        <w:t>Dear Mr. _________:</w:t>
      </w:r>
    </w:p>
    <w:p>
      <w:pPr>
        <w:pStyle w:val="Normal"/>
        <w:jc w:val="both"/>
        <w:rPr>
          <w:sz w:val="24"/>
        </w:rPr>
      </w:pPr>
      <w:r>
        <w:rPr>
          <w:sz w:val="24"/>
        </w:rPr>
      </w:r>
    </w:p>
    <w:p>
      <w:pPr>
        <w:pStyle w:val="Normal"/>
        <w:jc w:val="both"/>
        <w:rPr>
          <w:sz w:val="24"/>
        </w:rPr>
      </w:pPr>
      <w:r>
        <w:rPr>
          <w:sz w:val="24"/>
        </w:rPr>
        <w:tab/>
        <w:t>Crescendo hereby notifies Wildhorse that Crescendo purchased all of Enogex’s interest in the _______ wells (the “Entrada Production”) and the __________ wells (the “Dakota Production”).  Therefore is Enogex’s successor in interest under the Gathering Agreement.</w:t>
      </w:r>
    </w:p>
    <w:p>
      <w:pPr>
        <w:pStyle w:val="Normal"/>
        <w:jc w:val="both"/>
        <w:rPr>
          <w:sz w:val="24"/>
        </w:rPr>
      </w:pPr>
      <w:r>
        <w:rPr>
          <w:sz w:val="24"/>
        </w:rPr>
      </w:r>
    </w:p>
    <w:p>
      <w:pPr>
        <w:pStyle w:val="Normal"/>
        <w:jc w:val="both"/>
        <w:rPr>
          <w:sz w:val="24"/>
        </w:rPr>
      </w:pPr>
      <w:r>
        <w:rPr>
          <w:sz w:val="24"/>
        </w:rPr>
        <w:t xml:space="preserve">Please be advised that Crescendo plans to install a treating facility at _________________ (the “Treating Plant”) to treat the Entrada Production which will result in the Entrada Production meeting the gas quality of the downstream carrier, Northwest Pipeline Company.  The Treating Plant is expected to be operational by July 1, 2001.  </w:t>
      </w:r>
    </w:p>
    <w:p>
      <w:pPr>
        <w:pStyle w:val="Normal"/>
        <w:jc w:val="both"/>
        <w:rPr>
          <w:sz w:val="24"/>
        </w:rPr>
      </w:pPr>
      <w:r>
        <w:rPr>
          <w:sz w:val="24"/>
        </w:rPr>
      </w:r>
    </w:p>
    <w:p>
      <w:pPr>
        <w:pStyle w:val="Normal"/>
        <w:jc w:val="both"/>
        <w:rPr>
          <w:sz w:val="24"/>
        </w:rPr>
      </w:pPr>
      <w:r>
        <w:rPr>
          <w:sz w:val="24"/>
        </w:rPr>
        <w:t xml:space="preserve">In accordance with Section 7 of the Gathering Agreement, Crescendo expects Wildhorse to accept all gas delivered by Crescendo in accordance with the terms and conditions of the Gathering Agreement upon startup of the Treating Plant.  </w:t>
      </w:r>
    </w:p>
    <w:p>
      <w:pPr>
        <w:pStyle w:val="Normal"/>
        <w:jc w:val="both"/>
        <w:rPr>
          <w:sz w:val="24"/>
        </w:rPr>
      </w:pPr>
      <w:r>
        <w:rPr>
          <w:sz w:val="24"/>
        </w:rPr>
      </w:r>
    </w:p>
    <w:p>
      <w:pPr>
        <w:pStyle w:val="Normal"/>
        <w:jc w:val="both"/>
        <w:rPr>
          <w:sz w:val="24"/>
        </w:rPr>
      </w:pPr>
      <w:r>
        <w:rPr>
          <w:sz w:val="24"/>
        </w:rPr>
        <w:t xml:space="preserve">However, based Crescendo’s discussions (through Crescendo’s representative, Dan Bump with Enron North America Corp.) to date with Wildhorse, Crescendo understands Wildhorse’s position to be that gathering of the treated Entrada Production under the Gathering Agreement is unprofitable in accordance with Section 13 “Unprofitability” of the Gathering Agreement.  In accordance with Section 13 “Unprofitability” of the Gathering Agreement, Crescendo seeks to discuss alternatives to the terms and conditions of the Gathering Agreement with respect to the Entrada Production </w:t>
      </w:r>
      <w:r>
        <w:rPr>
          <w:i/>
          <w:iCs/>
          <w:sz w:val="24"/>
        </w:rPr>
        <w:t>including, release of the Entrada Production from the terms and provisions of the Gathering Agreement.</w:t>
      </w:r>
    </w:p>
    <w:p>
      <w:pPr>
        <w:pStyle w:val="Normal"/>
        <w:jc w:val="both"/>
        <w:rPr>
          <w:sz w:val="24"/>
        </w:rPr>
      </w:pPr>
      <w:r>
        <w:rPr>
          <w:sz w:val="24"/>
        </w:rPr>
      </w:r>
    </w:p>
    <w:p>
      <w:pPr>
        <w:pStyle w:val="Normal"/>
        <w:jc w:val="both"/>
        <w:rPr>
          <w:sz w:val="24"/>
        </w:rPr>
      </w:pPr>
      <w:r>
        <w:rPr>
          <w:sz w:val="24"/>
        </w:rPr>
        <w:tab/>
        <w:t xml:space="preserve">Your prompt response to this letter would be greatly appreciated.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_______________________ (Who?)</w:t>
      </w:r>
    </w:p>
    <w:p>
      <w:pPr>
        <w:pStyle w:val="Normal"/>
        <w:jc w:val="both"/>
        <w:rPr>
          <w:sz w:val="24"/>
        </w:rPr>
      </w:pPr>
      <w:r>
        <w:rPr>
          <w:sz w:val="24"/>
        </w:rPr>
        <w:tab/>
        <w:tab/>
        <w:tab/>
        <w:tab/>
        <w:tab/>
        <w:tab/>
        <w:t>NG Resources Corporation</w:t>
      </w:r>
    </w:p>
    <w:p>
      <w:pPr>
        <w:pStyle w:val="Normal"/>
        <w:ind w:start="4320" w:end="0"/>
        <w:jc w:val="both"/>
        <w:rPr>
          <w:sz w:val="24"/>
        </w:rPr>
      </w:pPr>
      <w:r>
        <w:rPr>
          <w:sz w:val="24"/>
        </w:rPr>
        <w:t>Managing Member of Crescendo Energy Partners, LLC</w:t>
      </w:r>
    </w:p>
    <w:p>
      <w:pPr>
        <w:pStyle w:val="Normal"/>
        <w:jc w:val="both"/>
        <w:rPr>
          <w:sz w:val="24"/>
        </w:rPr>
      </w:pPr>
      <w:r>
        <w:rPr>
          <w:sz w:val="24"/>
        </w:rPr>
      </w:r>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/mnt/main-storage/datasets/enron-docs/doc/Wildhorse.doc</w:t>
    </w:r>
    <w:r>
      <w:rPr>
        <w:sz w:val="14"/>
      </w:rPr>
      <w:fldChar w:fldCharType="end"/>
    </w:r>
    <w:r>
      <w:rPr>
        <w:sz w:val="1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2000-07-23T17:47:00Z</dcterms:created>
  <dc:creator>Pat Radford</dc:creator>
  <dc:description/>
  <dc:language>en-CA</dc:language>
  <cp:lastModifiedBy>gnemec</cp:lastModifiedBy>
  <cp:lastPrinted>2000-07-23T15:54:00Z</cp:lastPrinted>
  <dcterms:modified xsi:type="dcterms:W3CDTF">2000-07-23T18:37:00Z</dcterms:modified>
  <cp:revision>8</cp:revision>
  <dc:subject/>
  <dc:title>November 11, 1998</dc:title>
</cp:coreProperties>
</file>