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bookmarkStart w:id="0" w:name="_1040543411"/>
      <w:bookmarkEnd w:id="0"/>
      <w:r>
        <w:rPr/>
        <w:object w:dxaOrig="2657" w:dyaOrig="223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32.85pt;height:111.8pt" filled="f" o:ole="">
            <v:imagedata r:id="rId3" o:title=""/>
          </v:shape>
          <o:OLEObject Type="Embed" ProgID="" ShapeID="ole_rId2" DrawAspect="Content" ObjectID="_1380891629" r:id="rId2"/>
        </w:object>
      </w:r>
      <w:r>
        <w:rPr/>
        <w:tab/>
        <w:tab/>
        <w:tab/>
      </w:r>
      <w:r>
        <w:rPr>
          <w:rFonts w:cs="Arial" w:ascii="Arial" w:hAnsi="Arial"/>
          <w:b/>
        </w:rPr>
        <w:t>April 11, 2001</w:t>
      </w:r>
    </w:p>
    <w:p>
      <w:pPr>
        <w:pStyle w:val="Normal"/>
        <w:rPr>
          <w:rFonts w:ascii="Arial" w:hAnsi="Arial" w:cs="Arial"/>
          <w:b/>
          <w:u w:val="single"/>
        </w:rPr>
      </w:pPr>
      <w:r>
        <w:rPr>
          <w:rFonts w:cs="Arial" w:ascii="Arial" w:hAnsi="Arial"/>
          <w:b/>
          <w:u w:val="single"/>
        </w:rPr>
      </w:r>
    </w:p>
    <w:p>
      <w:pPr>
        <w:pStyle w:val="Normal"/>
        <w:rPr/>
      </w:pPr>
      <w:r>
        <w:rPr>
          <w:rFonts w:cs="Arial" w:ascii="Arial" w:hAnsi="Arial"/>
          <w:b/>
          <w:i/>
          <w:sz w:val="24"/>
          <w:u w:val="single"/>
        </w:rPr>
        <w:t>Expansion</w:t>
      </w:r>
      <w:r>
        <w:rPr>
          <w:rFonts w:cs="Arial" w:ascii="Arial" w:hAnsi="Arial"/>
          <w:b/>
          <w:u w:val="single"/>
        </w:rPr>
        <w:t xml:space="preserve"> Firm Base Load Storage (“BLS”) Service Open Season</w:t>
      </w:r>
    </w:p>
    <w:p>
      <w:pPr>
        <w:pStyle w:val="Normal"/>
        <w:rPr>
          <w:rFonts w:ascii="Arial" w:hAnsi="Arial" w:cs="Arial"/>
          <w:b/>
          <w:u w:val="single"/>
        </w:rPr>
      </w:pPr>
      <w:r>
        <w:rPr>
          <w:rFonts w:cs="Arial" w:ascii="Arial" w:hAnsi="Arial"/>
          <w:b/>
          <w:u w:val="single"/>
        </w:rPr>
      </w:r>
    </w:p>
    <w:p>
      <w:pPr>
        <w:pStyle w:val="Normal"/>
        <w:rPr>
          <w:rFonts w:ascii="Arial" w:hAnsi="Arial" w:cs="Arial"/>
        </w:rPr>
      </w:pPr>
      <w:r>
        <w:rPr>
          <w:rFonts w:cs="Arial" w:ascii="Arial" w:hAnsi="Arial"/>
        </w:rPr>
        <w:t>Wild Goose Storage Inc. is planning to expand its facility located in Butte County in northern California and connected to PG&amp;E for service commencing as early as April 1, 2003. This expansion could increase the facility capacities as follows:</w:t>
      </w:r>
    </w:p>
    <w:p>
      <w:pPr>
        <w:pStyle w:val="Normal"/>
        <w:rPr>
          <w:rFonts w:ascii="Arial" w:hAnsi="Arial" w:cs="Arial"/>
        </w:rPr>
      </w:pPr>
      <w:r>
        <w:rPr>
          <w:rFonts w:cs="Arial" w:ascii="Arial" w:hAnsi="Arial"/>
        </w:rPr>
      </w:r>
    </w:p>
    <w:p>
      <w:pPr>
        <w:pStyle w:val="Normal"/>
        <w:ind w:firstLine="720" w:start="2160" w:end="0"/>
        <w:rPr>
          <w:rFonts w:ascii="Arial" w:hAnsi="Arial" w:cs="Arial"/>
        </w:rPr>
      </w:pPr>
      <w:r>
        <w:rPr>
          <w:rFonts w:eastAsia="Arial" w:cs="Arial" w:ascii="Arial" w:hAnsi="Arial"/>
        </w:rPr>
        <w:t xml:space="preserve">      </w:t>
      </w:r>
      <w:r>
        <w:rPr>
          <w:rFonts w:cs="Arial" w:ascii="Arial" w:hAnsi="Arial"/>
        </w:rPr>
        <w:t>Existing Capacity</w:t>
        <w:tab/>
        <w:t>Capacity Following Expansion</w:t>
      </w:r>
    </w:p>
    <w:p>
      <w:pPr>
        <w:pStyle w:val="Normal"/>
        <w:rPr>
          <w:rFonts w:ascii="Arial" w:hAnsi="Arial" w:cs="Arial"/>
        </w:rPr>
      </w:pPr>
      <w:r>
        <w:rPr>
          <w:rFonts w:cs="Arial" w:ascii="Arial" w:hAnsi="Arial"/>
        </w:rPr>
        <w:t xml:space="preserve">Working Gas Volume </w:t>
        <w:tab/>
        <w:tab/>
        <w:tab/>
        <w:t xml:space="preserve">  14 Bcf</w:t>
        <w:tab/>
        <w:tab/>
        <w:tab/>
        <w:t xml:space="preserve">  38 Bcf</w:t>
      </w:r>
    </w:p>
    <w:p>
      <w:pPr>
        <w:pStyle w:val="Normal"/>
        <w:rPr>
          <w:rFonts w:ascii="Arial" w:hAnsi="Arial" w:cs="Arial"/>
        </w:rPr>
      </w:pPr>
      <w:r>
        <w:rPr>
          <w:rFonts w:cs="Arial" w:ascii="Arial" w:hAnsi="Arial"/>
        </w:rPr>
        <w:t>Maximum Injection Rate</w:t>
        <w:tab/>
        <w:tab/>
        <w:tab/>
        <w:t xml:space="preserve">  80 MMcfd</w:t>
        <w:tab/>
        <w:tab/>
        <w:t>450 MMcfd</w:t>
      </w:r>
    </w:p>
    <w:p>
      <w:pPr>
        <w:pStyle w:val="Normal"/>
        <w:rPr>
          <w:rFonts w:ascii="Arial" w:hAnsi="Arial" w:cs="Arial"/>
        </w:rPr>
      </w:pPr>
      <w:r>
        <w:rPr>
          <w:rFonts w:cs="Arial" w:ascii="Arial" w:hAnsi="Arial"/>
        </w:rPr>
        <w:t>Maximum Withdrawal Rate</w:t>
        <w:tab/>
        <w:tab/>
        <w:t>200 MMcfd</w:t>
        <w:tab/>
        <w:tab/>
        <w:t>650 MMcfd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This open season provides for an in-service date commencing April 1, 2004 and an opportunity to participate in an “early service option” which could have service available by April 1, 2003. The in-service date is subject to CPUC approval by September 1, 2002 and the successful completion of new facility construction. </w:t>
      </w:r>
    </w:p>
    <w:p>
      <w:pPr>
        <w:pStyle w:val="Normal"/>
        <w:rPr>
          <w:rFonts w:ascii="Arial" w:hAnsi="Arial" w:cs="Arial"/>
        </w:rPr>
      </w:pPr>
      <w:r>
        <w:rPr>
          <w:rFonts w:cs="Arial" w:ascii="Arial" w:hAnsi="Arial"/>
        </w:rPr>
      </w:r>
    </w:p>
    <w:p>
      <w:pPr>
        <w:pStyle w:val="Heading2"/>
        <w:ind w:hanging="0" w:start="0"/>
        <w:rPr/>
      </w:pPr>
      <w:r>
        <w:rPr/>
        <w:t>Customer offers are required by 2:00 pm MST, Tuesday May 22, 2001</w:t>
      </w:r>
    </w:p>
    <w:p>
      <w:pPr>
        <w:pStyle w:val="Normal"/>
        <w:rPr>
          <w:rFonts w:ascii="Arial" w:hAnsi="Arial" w:cs="Arial"/>
        </w:rPr>
      </w:pPr>
      <w:r>
        <w:rPr>
          <w:rFonts w:cs="Arial" w:ascii="Arial" w:hAnsi="Arial"/>
        </w:rPr>
      </w:r>
    </w:p>
    <w:p>
      <w:pPr>
        <w:pStyle w:val="Normal"/>
        <w:rPr/>
      </w:pPr>
      <w:r>
        <w:rPr>
          <w:rFonts w:cs="Arial" w:ascii="Arial" w:hAnsi="Arial"/>
        </w:rPr>
        <w:t xml:space="preserve">Customer offers must be reasonably open for acceptance by Wild Goose Storage Inc. until 2:00 pm MST, Wednesday June 20, 2001 subject only to significant changes in market conditions and final approval of customer’s management. Preference for offer acceptance will be toward </w:t>
      </w:r>
      <w:r>
        <w:rPr>
          <w:rFonts w:cs="Arial" w:ascii="Arial" w:hAnsi="Arial"/>
          <w:i/>
          <w:u w:val="single"/>
        </w:rPr>
        <w:t>longer-term</w:t>
      </w:r>
      <w:r>
        <w:rPr>
          <w:rFonts w:cs="Arial" w:ascii="Arial" w:hAnsi="Arial"/>
        </w:rPr>
        <w:t xml:space="preserve"> contracts (greater than 5 years) and offers, which </w:t>
      </w:r>
      <w:r>
        <w:rPr>
          <w:rFonts w:cs="Arial" w:ascii="Arial" w:hAnsi="Arial"/>
          <w:i/>
          <w:u w:val="single"/>
        </w:rPr>
        <w:t>exceed 100% of our rack rate</w:t>
      </w:r>
      <w:r>
        <w:rPr>
          <w:rFonts w:cs="Arial" w:ascii="Arial" w:hAnsi="Arial"/>
        </w:rPr>
        <w:t>. The offer sheets are provided in Microsoft Excel and are set up to calculate the percentage of rack rate for your convenience. It is the intent of Wild Goose Storage Inc. to negotiate and conclude contracts with the participants providing acceptable offers in this open season as close as possible to June 20, 2001. Wild Goose will announce to all contracted participants whether it will proceed with the expansion in early August 2001. Wild Goose Storage Inc. reserves the right to not necessarily accept the highest priced offer nor to award all or any of the storage capacity available.</w:t>
      </w:r>
    </w:p>
    <w:p>
      <w:pPr>
        <w:pStyle w:val="Normal"/>
        <w:rPr>
          <w:rFonts w:ascii="Arial" w:hAnsi="Arial" w:eastAsia="Arial" w:cs="Arial"/>
        </w:rPr>
      </w:pPr>
      <w:r>
        <w:rPr>
          <w:rFonts w:eastAsia="Arial" w:cs="Arial" w:ascii="Arial" w:hAnsi="Arial"/>
        </w:rPr>
        <w:t xml:space="preserve"> </w:t>
      </w:r>
    </w:p>
    <w:p>
      <w:pPr>
        <w:pStyle w:val="Normal"/>
        <w:rPr>
          <w:rFonts w:ascii="Arial" w:hAnsi="Arial" w:cs="Arial"/>
        </w:rPr>
      </w:pPr>
      <w:r>
        <w:rPr>
          <w:rFonts w:cs="Arial" w:ascii="Arial" w:hAnsi="Arial"/>
        </w:rPr>
        <w:t>A reasonable summary of the main terms and features of BLS service is attached for your convenience (Attached File – BLS Summary), but should not be used as the sole terms by which service is to be provided. All service is subject to the Tariff Schedules for Natural Gas Storage Service of Wild Goose Storage Inc., as approved by the Public Utilities Commission of the State of California.</w:t>
      </w:r>
    </w:p>
    <w:p>
      <w:pPr>
        <w:pStyle w:val="Normal"/>
        <w:rPr>
          <w:rFonts w:ascii="Arial" w:hAnsi="Arial" w:cs="Arial"/>
        </w:rPr>
      </w:pPr>
      <w:r>
        <w:rPr>
          <w:rFonts w:cs="Arial" w:ascii="Arial" w:hAnsi="Arial"/>
        </w:rPr>
      </w:r>
    </w:p>
    <w:p>
      <w:pPr>
        <w:pStyle w:val="Normal"/>
        <w:rPr/>
      </w:pPr>
      <w:r>
        <w:rPr>
          <w:rFonts w:cs="Arial" w:ascii="Arial" w:hAnsi="Arial"/>
        </w:rPr>
        <w:t xml:space="preserve">For more information about Wild Goose Storage Inc. or to download a copy of the entire tariff please refer to our web site at </w:t>
      </w:r>
      <w:r>
        <w:rPr>
          <w:rFonts w:cs="Arial" w:ascii="Arial" w:hAnsi="Arial"/>
          <w:u w:val="single"/>
        </w:rPr>
        <w:t>www.wildgoose-storage.com</w:t>
      </w:r>
      <w:r>
        <w:rPr>
          <w:rFonts w:cs="Arial" w:ascii="Arial" w:hAnsi="Arial"/>
        </w:rPr>
        <w:t xml:space="preserve">. </w:t>
      </w:r>
      <w:r>
        <w:br w:type="page"/>
      </w:r>
    </w:p>
    <w:p>
      <w:pPr>
        <w:pStyle w:val="Normal"/>
        <w:rPr>
          <w:rFonts w:ascii="Arial" w:hAnsi="Arial" w:cs="Arial"/>
        </w:rPr>
      </w:pPr>
      <w:r>
        <w:rPr>
          <w:rFonts w:cs="Arial" w:ascii="Arial" w:hAnsi="Arial"/>
        </w:rPr>
      </w:r>
    </w:p>
    <w:p>
      <w:pPr>
        <w:pStyle w:val="Normal"/>
        <w:rPr>
          <w:rFonts w:ascii="Arial" w:hAnsi="Arial" w:cs="Arial"/>
          <w:b/>
          <w:u w:val="single"/>
        </w:rPr>
      </w:pPr>
      <w:r>
        <w:rPr>
          <w:rFonts w:cs="Arial" w:ascii="Arial" w:hAnsi="Arial"/>
          <w:b/>
          <w:u w:val="single"/>
        </w:rPr>
        <w:t>Customer offers must include the following:</w:t>
      </w:r>
    </w:p>
    <w:p>
      <w:pPr>
        <w:pStyle w:val="Normal"/>
        <w:rPr>
          <w:rFonts w:ascii="Arial" w:hAnsi="Arial" w:cs="Arial"/>
          <w:b/>
          <w:u w:val="single"/>
        </w:rPr>
      </w:pPr>
      <w:r>
        <w:rPr>
          <w:rFonts w:cs="Arial" w:ascii="Arial" w:hAnsi="Arial"/>
          <w:b/>
          <w:u w:val="single"/>
        </w:rPr>
      </w:r>
    </w:p>
    <w:p>
      <w:pPr>
        <w:pStyle w:val="Normal"/>
        <w:rPr>
          <w:rFonts w:ascii="Arial" w:hAnsi="Arial" w:cs="Arial"/>
        </w:rPr>
      </w:pPr>
      <w:r>
        <w:rPr>
          <w:rFonts w:cs="Arial" w:ascii="Arial" w:hAnsi="Arial"/>
        </w:rPr>
        <w:t>A) Completed Offer Forms (Attached File - Offer Sheets) for each period of service including:</w:t>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the amount of Inventory Capacity Required for each April to March period during the term</w:t>
      </w:r>
    </w:p>
    <w:p>
      <w:pPr>
        <w:pStyle w:val="Normal"/>
        <w:numPr>
          <w:ilvl w:val="0"/>
          <w:numId w:val="3"/>
        </w:numPr>
        <w:rPr>
          <w:rFonts w:ascii="Arial" w:hAnsi="Arial" w:cs="Arial"/>
        </w:rPr>
      </w:pPr>
      <w:r>
        <w:rPr>
          <w:rFonts w:cs="Arial" w:ascii="Arial" w:hAnsi="Arial"/>
        </w:rPr>
        <w:t>the amount of Maximum Daily Injection Quantity Required by month during the term</w:t>
      </w:r>
    </w:p>
    <w:p>
      <w:pPr>
        <w:pStyle w:val="Normal"/>
        <w:numPr>
          <w:ilvl w:val="0"/>
          <w:numId w:val="3"/>
        </w:numPr>
        <w:rPr>
          <w:rFonts w:ascii="Arial" w:hAnsi="Arial" w:cs="Arial"/>
        </w:rPr>
      </w:pPr>
      <w:r>
        <w:rPr>
          <w:rFonts w:cs="Arial" w:ascii="Arial" w:hAnsi="Arial"/>
        </w:rPr>
        <w:t>the amount of Maximum Daily Withdrawal Quantity Required by month during the term</w:t>
      </w:r>
    </w:p>
    <w:p>
      <w:pPr>
        <w:pStyle w:val="Normal"/>
        <w:numPr>
          <w:ilvl w:val="0"/>
          <w:numId w:val="3"/>
        </w:numPr>
        <w:rPr>
          <w:rFonts w:ascii="Arial" w:hAnsi="Arial" w:cs="Arial"/>
        </w:rPr>
      </w:pPr>
      <w:r>
        <w:rPr>
          <w:rFonts w:cs="Arial" w:ascii="Arial" w:hAnsi="Arial"/>
        </w:rPr>
        <w:t>the Total Storage Demand Charge for each April to March period during the term</w:t>
      </w:r>
    </w:p>
    <w:p>
      <w:pPr>
        <w:pStyle w:val="Normal"/>
        <w:numPr>
          <w:ilvl w:val="0"/>
          <w:numId w:val="3"/>
        </w:numPr>
        <w:rPr>
          <w:rFonts w:ascii="Arial" w:hAnsi="Arial" w:cs="Arial"/>
        </w:rPr>
      </w:pPr>
      <w:r>
        <w:rPr>
          <w:rFonts w:cs="Arial" w:ascii="Arial" w:hAnsi="Arial"/>
        </w:rPr>
        <w:t>the Injection Commodity Rate for each April to March period during the term</w:t>
      </w:r>
    </w:p>
    <w:p>
      <w:pPr>
        <w:pStyle w:val="Normal"/>
        <w:numPr>
          <w:ilvl w:val="0"/>
          <w:numId w:val="3"/>
        </w:numPr>
        <w:rPr>
          <w:rFonts w:ascii="Arial" w:hAnsi="Arial" w:cs="Arial"/>
        </w:rPr>
      </w:pPr>
      <w:r>
        <w:rPr>
          <w:rFonts w:cs="Arial" w:ascii="Arial" w:hAnsi="Arial"/>
        </w:rPr>
        <w:t>the Withdrawal Commodity Rate for each April to March period during the term</w:t>
      </w:r>
    </w:p>
    <w:p>
      <w:pPr>
        <w:pStyle w:val="Normal"/>
        <w:numPr>
          <w:ilvl w:val="0"/>
          <w:numId w:val="2"/>
        </w:numPr>
        <w:rPr>
          <w:rFonts w:ascii="Arial" w:hAnsi="Arial" w:cs="Arial"/>
        </w:rPr>
      </w:pPr>
      <w:r>
        <w:rPr>
          <w:rFonts w:cs="Arial" w:ascii="Arial" w:hAnsi="Arial"/>
        </w:rPr>
        <w:t xml:space="preserve">a signature from an authorized employee of the company verifying the offer </w:t>
      </w:r>
    </w:p>
    <w:p>
      <w:pPr>
        <w:pStyle w:val="Normal"/>
        <w:jc w:val="both"/>
        <w:rPr>
          <w:rFonts w:ascii="Arial" w:hAnsi="Arial" w:cs="Arial"/>
        </w:rPr>
      </w:pPr>
      <w:r>
        <w:rPr>
          <w:rFonts w:cs="Arial" w:ascii="Arial" w:hAnsi="Arial"/>
        </w:rPr>
      </w:r>
    </w:p>
    <w:p>
      <w:pPr>
        <w:pStyle w:val="Normal"/>
        <w:ind w:firstLine="360" w:end="0"/>
        <w:jc w:val="both"/>
        <w:rPr>
          <w:rFonts w:ascii="Arial" w:hAnsi="Arial" w:cs="Arial"/>
        </w:rPr>
      </w:pPr>
      <w:r>
        <w:rPr>
          <w:rFonts w:cs="Arial" w:ascii="Arial" w:hAnsi="Arial"/>
        </w:rPr>
        <w:t>In the ‘Offer Sheets’ file attachment you will find the following tabs at the bottom:</w:t>
      </w:r>
    </w:p>
    <w:p>
      <w:pPr>
        <w:pStyle w:val="Normal"/>
        <w:jc w:val="both"/>
        <w:rPr>
          <w:rFonts w:ascii="Arial" w:hAnsi="Arial" w:cs="Arial"/>
        </w:rPr>
      </w:pPr>
      <w:r>
        <w:rPr>
          <w:rFonts w:cs="Arial" w:ascii="Arial" w:hAnsi="Arial"/>
        </w:rPr>
      </w:r>
    </w:p>
    <w:p>
      <w:pPr>
        <w:pStyle w:val="Normal"/>
        <w:numPr>
          <w:ilvl w:val="0"/>
          <w:numId w:val="4"/>
        </w:numPr>
        <w:tabs>
          <w:tab w:val="left" w:pos="720" w:leader="none"/>
        </w:tabs>
        <w:ind w:hanging="360" w:start="720" w:end="0"/>
        <w:jc w:val="both"/>
        <w:rPr>
          <w:rFonts w:ascii="Arial" w:hAnsi="Arial" w:cs="Arial"/>
        </w:rPr>
      </w:pPr>
      <w:r>
        <w:rPr>
          <w:rFonts w:cs="Arial" w:ascii="Arial" w:hAnsi="Arial"/>
        </w:rPr>
        <w:t>an offer sheet in Excel format</w:t>
      </w:r>
    </w:p>
    <w:p>
      <w:pPr>
        <w:pStyle w:val="Normal"/>
        <w:numPr>
          <w:ilvl w:val="0"/>
          <w:numId w:val="4"/>
        </w:numPr>
        <w:tabs>
          <w:tab w:val="left" w:pos="720" w:leader="none"/>
        </w:tabs>
        <w:ind w:hanging="360" w:start="720" w:end="0"/>
        <w:jc w:val="both"/>
        <w:rPr>
          <w:rFonts w:ascii="Arial" w:hAnsi="Arial" w:cs="Arial"/>
        </w:rPr>
      </w:pPr>
      <w:r>
        <w:rPr>
          <w:rFonts w:cs="Arial" w:ascii="Arial" w:hAnsi="Arial"/>
        </w:rPr>
        <w:t>a manual offer sheet which can be printed out and filled in by hand</w:t>
      </w:r>
    </w:p>
    <w:p>
      <w:pPr>
        <w:pStyle w:val="Normal"/>
        <w:numPr>
          <w:ilvl w:val="0"/>
          <w:numId w:val="4"/>
        </w:numPr>
        <w:tabs>
          <w:tab w:val="left" w:pos="720" w:leader="none"/>
        </w:tabs>
        <w:ind w:hanging="360" w:start="720" w:end="0"/>
        <w:jc w:val="both"/>
        <w:rPr>
          <w:rFonts w:ascii="Arial" w:hAnsi="Arial" w:cs="Arial"/>
        </w:rPr>
      </w:pPr>
      <w:r>
        <w:rPr>
          <w:rFonts w:cs="Arial" w:ascii="Arial" w:hAnsi="Arial"/>
        </w:rPr>
        <w:t>an example offer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 An executed Storage Services Agreement (Attached File – Storage Services Agreement) unless your company already has one on file with Wild Goose Storage Inc.</w:t>
      </w:r>
    </w:p>
    <w:p>
      <w:pPr>
        <w:pStyle w:val="Normal"/>
        <w:jc w:val="both"/>
        <w:rPr>
          <w:rFonts w:ascii="Arial" w:hAnsi="Arial" w:cs="Arial"/>
        </w:rPr>
      </w:pPr>
      <w:r>
        <w:rPr>
          <w:rFonts w:cs="Arial" w:ascii="Arial" w:hAnsi="Arial"/>
        </w:rPr>
      </w:r>
    </w:p>
    <w:p>
      <w:pPr>
        <w:pStyle w:val="Normal"/>
        <w:jc w:val="both"/>
        <w:rPr>
          <w:rFonts w:ascii="Arial" w:hAnsi="Arial" w:cs="Arial"/>
          <w:b/>
          <w:u w:val="single"/>
        </w:rPr>
      </w:pPr>
      <w:r>
        <w:rPr>
          <w:rFonts w:cs="Arial" w:ascii="Arial" w:hAnsi="Arial"/>
          <w:b/>
          <w:u w:val="single"/>
        </w:rPr>
        <w:t>Early Service Option</w:t>
      </w:r>
    </w:p>
    <w:p>
      <w:pPr>
        <w:pStyle w:val="Normal"/>
        <w:jc w:val="both"/>
        <w:rPr>
          <w:rFonts w:ascii="Arial" w:hAnsi="Arial" w:cs="Arial"/>
          <w:b/>
          <w:u w:val="single"/>
        </w:rPr>
      </w:pPr>
      <w:r>
        <w:rPr>
          <w:rFonts w:cs="Arial" w:ascii="Arial" w:hAnsi="Arial"/>
          <w:b/>
          <w:u w:val="single"/>
        </w:rPr>
      </w:r>
    </w:p>
    <w:p>
      <w:pPr>
        <w:pStyle w:val="Normal"/>
        <w:jc w:val="both"/>
        <w:rPr>
          <w:rFonts w:ascii="Arial" w:hAnsi="Arial" w:cs="Arial"/>
        </w:rPr>
      </w:pPr>
      <w:r>
        <w:rPr>
          <w:rFonts w:cs="Arial" w:ascii="Arial" w:hAnsi="Arial"/>
        </w:rPr>
        <w:t xml:space="preserve">Once Wild Goose Storage Inc. gives notice in early August 2001 to proceed with the expansion, every effort will be made to complete construction as early as possible. Notice will be given by November 1, 2002 if service will be available earlier than April 1, 2004. All contracted participants will have the right, but not the obligation, to amend their contracts to the earlier term start date and add this additional service to their existing contracts at the same fees negotiated for the first year of service commencing April 1, 2004. </w:t>
      </w:r>
    </w:p>
    <w:p>
      <w:pPr>
        <w:pStyle w:val="Normal"/>
        <w:jc w:val="both"/>
        <w:rPr>
          <w:rFonts w:ascii="Arial" w:hAnsi="Arial" w:cs="Arial"/>
        </w:rPr>
      </w:pPr>
      <w:r>
        <w:rPr>
          <w:rFonts w:cs="Arial" w:ascii="Arial" w:hAnsi="Arial"/>
        </w:rPr>
      </w:r>
    </w:p>
    <w:p>
      <w:pPr>
        <w:pStyle w:val="Normal"/>
        <w:jc w:val="both"/>
        <w:rPr>
          <w:rFonts w:ascii="Arial" w:hAnsi="Arial" w:cs="Arial"/>
          <w:b/>
          <w:u w:val="single"/>
        </w:rPr>
      </w:pPr>
      <w:r>
        <w:rPr>
          <w:rFonts w:cs="Arial" w:ascii="Arial" w:hAnsi="Arial"/>
          <w:b/>
          <w:u w:val="single"/>
        </w:rPr>
        <w:t xml:space="preserve">Rack Rates </w:t>
      </w:r>
    </w:p>
    <w:p>
      <w:pPr>
        <w:pStyle w:val="Blockquote"/>
        <w:rPr>
          <w:rFonts w:ascii="Arial" w:hAnsi="Arial" w:cs="Arial"/>
          <w:sz w:val="20"/>
          <w:lang w:eastAsia="en-CA"/>
        </w:rPr>
      </w:pPr>
      <w:r>
        <w:rPr>
          <w:rFonts w:cs="Arial" w:ascii="Arial" w:hAnsi="Arial"/>
          <w:sz w:val="20"/>
          <w:lang w:eastAsia="en-CA"/>
        </w:rPr>
        <w:t>Our rates are ‘market based’ meaning they are fully negotiable, but our ‘rack rates’ are as follows:</w:t>
      </w:r>
    </w:p>
    <w:p>
      <w:pPr>
        <w:pStyle w:val="Normal"/>
        <w:jc w:val="both"/>
        <w:rPr>
          <w:rFonts w:ascii="Arial" w:hAnsi="Arial" w:cs="Arial"/>
        </w:rPr>
      </w:pPr>
      <w:r>
        <w:rPr>
          <w:rFonts w:cs="Arial" w:ascii="Arial" w:hAnsi="Arial"/>
        </w:rPr>
        <w:t>Monthly Storage Demand Charges</w:t>
      </w:r>
    </w:p>
    <w:p>
      <w:pPr>
        <w:pStyle w:val="Normal"/>
        <w:numPr>
          <w:ilvl w:val="0"/>
          <w:numId w:val="4"/>
        </w:numPr>
        <w:jc w:val="both"/>
        <w:rPr>
          <w:rFonts w:ascii="Arial" w:hAnsi="Arial" w:cs="Arial"/>
        </w:rPr>
      </w:pPr>
      <w:r>
        <w:rPr>
          <w:rFonts w:cs="Arial" w:ascii="Arial" w:hAnsi="Arial"/>
        </w:rPr>
        <w:t xml:space="preserve">Inventory($/Dth) $0.03 </w:t>
      </w:r>
    </w:p>
    <w:p>
      <w:pPr>
        <w:pStyle w:val="Normal"/>
        <w:numPr>
          <w:ilvl w:val="0"/>
          <w:numId w:val="4"/>
        </w:numPr>
        <w:jc w:val="both"/>
        <w:rPr>
          <w:rFonts w:ascii="Arial" w:hAnsi="Arial" w:cs="Arial"/>
        </w:rPr>
      </w:pPr>
      <w:r>
        <w:rPr>
          <w:rFonts w:cs="Arial" w:ascii="Arial" w:hAnsi="Arial"/>
        </w:rPr>
        <w:t xml:space="preserve">Injection ($/Dth/day) $3.00 </w:t>
      </w:r>
    </w:p>
    <w:p>
      <w:pPr>
        <w:pStyle w:val="Normal"/>
        <w:numPr>
          <w:ilvl w:val="0"/>
          <w:numId w:val="4"/>
        </w:numPr>
        <w:jc w:val="both"/>
        <w:rPr>
          <w:rFonts w:ascii="Arial" w:hAnsi="Arial" w:cs="Arial"/>
        </w:rPr>
      </w:pPr>
      <w:r>
        <w:rPr>
          <w:rFonts w:cs="Arial" w:ascii="Arial" w:hAnsi="Arial"/>
        </w:rPr>
        <w:t xml:space="preserve">Withdrawal ($/Dth/day) $2.00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Variable Charges</w:t>
      </w:r>
    </w:p>
    <w:p>
      <w:pPr>
        <w:pStyle w:val="Normal"/>
        <w:numPr>
          <w:ilvl w:val="0"/>
          <w:numId w:val="5"/>
        </w:numPr>
        <w:jc w:val="both"/>
        <w:rPr>
          <w:rFonts w:ascii="Arial" w:hAnsi="Arial" w:cs="Arial"/>
        </w:rPr>
      </w:pPr>
      <w:r>
        <w:rPr>
          <w:rFonts w:cs="Arial" w:ascii="Arial" w:hAnsi="Arial"/>
        </w:rPr>
        <w:t>Injection Commodity Rate ($/Dth) $0.02</w:t>
      </w:r>
    </w:p>
    <w:p>
      <w:pPr>
        <w:pStyle w:val="Normal"/>
        <w:numPr>
          <w:ilvl w:val="0"/>
          <w:numId w:val="5"/>
        </w:numPr>
        <w:jc w:val="both"/>
        <w:rPr>
          <w:rFonts w:ascii="Arial" w:hAnsi="Arial" w:cs="Arial"/>
        </w:rPr>
      </w:pPr>
      <w:r>
        <w:rPr>
          <w:rFonts w:cs="Arial" w:ascii="Arial" w:hAnsi="Arial"/>
        </w:rPr>
        <w:t xml:space="preserve">Withdrawal Commodity Rate ($/Dth) $0.02  </w:t>
      </w:r>
    </w:p>
    <w:p>
      <w:pPr>
        <w:pStyle w:val="Normal"/>
        <w:ind w:firstLine="60" w:end="0"/>
        <w:rPr>
          <w:rFonts w:ascii="Arial" w:hAnsi="Arial" w:cs="Arial"/>
        </w:rPr>
      </w:pPr>
      <w:r>
        <w:rPr>
          <w:rFonts w:cs="Arial" w:ascii="Arial" w:hAnsi="Arial"/>
        </w:rPr>
      </w:r>
    </w:p>
    <w:p>
      <w:pPr>
        <w:pStyle w:val="Heading1"/>
        <w:ind w:hanging="0" w:start="0"/>
        <w:rPr/>
      </w:pPr>
      <w:r>
        <w:rPr/>
        <w:t>Fuel Charges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In addition to the Demand and Variable charges described above, fuel costs are also charged based on actual consumption by customer and the value of the gas on a daily basis. Fuel consumption is expected to be between 1.25 to 1.75%. For details, please refer to the Wild Goose tariff.</w:t>
      </w:r>
    </w:p>
    <w:p>
      <w:pPr>
        <w:pStyle w:val="Normal"/>
        <w:rPr>
          <w:rFonts w:ascii="Arial" w:hAnsi="Arial" w:cs="Arial"/>
        </w:rPr>
      </w:pPr>
      <w:r>
        <w:rPr>
          <w:rFonts w:cs="Arial" w:ascii="Arial" w:hAnsi="Arial"/>
        </w:rPr>
      </w:r>
    </w:p>
    <w:p>
      <w:pPr>
        <w:pStyle w:val="Normal"/>
        <w:rPr/>
      </w:pPr>
      <w:r>
        <w:rPr>
          <w:rFonts w:cs="Arial" w:ascii="Arial" w:hAnsi="Arial"/>
        </w:rPr>
        <w:t xml:space="preserve">If you have any questions about this matter or need hard copies, </w:t>
      </w:r>
      <w:r>
        <w:rPr>
          <w:rFonts w:cs="Arial" w:ascii="Arial" w:hAnsi="Arial"/>
          <w:b/>
        </w:rPr>
        <w:t>please contact either Ben Ledene with Wild Goose in Calgary at (403) 266-8192 or Chris Price and Mark Baldwin with Interstate Gas Services in California at (925) 243-0350</w:t>
      </w:r>
      <w:r>
        <w:rPr>
          <w:rFonts w:cs="Arial" w:ascii="Arial" w:hAnsi="Arial"/>
        </w:rPr>
        <w:t>.</w:t>
      </w:r>
    </w:p>
    <w:p>
      <w:pPr>
        <w:pStyle w:val="Normal"/>
        <w:jc w:val="both"/>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16"/>
      </w:rPr>
    </w:lvl>
  </w:abstractNum>
  <w:abstractNum w:abstractNumId="3">
    <w:lvl w:ilvl="0">
      <w:start w:val="1"/>
      <w:numFmt w:val="bullet"/>
      <w:lvlText w:val=""/>
      <w:lvlJc w:val="start"/>
      <w:pPr>
        <w:tabs>
          <w:tab w:val="num" w:pos="360"/>
        </w:tabs>
        <w:ind w:start="360" w:hanging="360"/>
      </w:pPr>
      <w:rPr>
        <w:rFonts w:ascii="Symbol" w:hAnsi="Symbol" w:cs="Symbol" w:hint="default"/>
        <w:sz w:val="16"/>
      </w:rPr>
    </w:lvl>
  </w:abstractNum>
  <w:abstractNum w:abstractNumId="4">
    <w:lvl w:ilvl="0">
      <w:start w:val="1"/>
      <w:numFmt w:val="bullet"/>
      <w:lvlText w:val=""/>
      <w:lvlJc w:val="start"/>
      <w:pPr>
        <w:tabs>
          <w:tab w:val="num" w:pos="360"/>
        </w:tabs>
        <w:ind w:start="360" w:hanging="360"/>
      </w:pPr>
      <w:rPr>
        <w:rFonts w:ascii="Symbol" w:hAnsi="Symbol" w:cs="Symbol" w:hint="default"/>
        <w:sz w:val="16"/>
      </w:rPr>
    </w:lvl>
  </w:abstractNum>
  <w:abstractNum w:abstractNumId="5">
    <w:lvl w:ilvl="0">
      <w:start w:val="1"/>
      <w:numFmt w:val="bullet"/>
      <w:lvlText w:val=""/>
      <w:lvlJc w:val="start"/>
      <w:pPr>
        <w:tabs>
          <w:tab w:val="num" w:pos="360"/>
        </w:tabs>
        <w:ind w:start="360" w:hanging="360"/>
      </w:pPr>
      <w:rPr>
        <w:rFonts w:ascii="Symbol" w:hAnsi="Symbol" w:cs="Symbol" w:hint="default"/>
        <w:sz w:val="16"/>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u w:val="single"/>
    </w:rPr>
  </w:style>
  <w:style w:type="paragraph" w:styleId="Heading2">
    <w:name w:val="heading 2"/>
    <w:basedOn w:val="Normal"/>
    <w:next w:val="Normal"/>
    <w:qFormat/>
    <w:pPr>
      <w:keepNext w:val="true"/>
      <w:numPr>
        <w:ilvl w:val="1"/>
        <w:numId w:val="1"/>
      </w:numPr>
      <w:outlineLvl w:val="1"/>
    </w:pPr>
    <w:rPr>
      <w:rFonts w:ascii="Arial" w:hAnsi="Arial" w:cs="Arial"/>
      <w:b/>
    </w:rPr>
  </w:style>
  <w:style w:type="character" w:styleId="WW8Num2z0">
    <w:name w:val="WW8Num2z0"/>
    <w:qFormat/>
    <w:rPr>
      <w:rFonts w:ascii="Symbol" w:hAnsi="Symbol" w:cs="Symbol"/>
      <w:sz w:val="16"/>
    </w:rPr>
  </w:style>
  <w:style w:type="character" w:styleId="WW8Num3z0">
    <w:name w:val="WW8Num3z0"/>
    <w:qFormat/>
    <w:rPr>
      <w:rFonts w:ascii="Symbol" w:hAnsi="Symbol" w:cs="Symbol"/>
      <w:sz w:val="16"/>
    </w:rPr>
  </w:style>
  <w:style w:type="character" w:styleId="WW8Num4z0">
    <w:name w:val="WW8Num4z0"/>
    <w:qFormat/>
    <w:rPr>
      <w:rFonts w:ascii="Symbol" w:hAnsi="Symbol" w:cs="Symbol"/>
      <w:sz w:val="16"/>
    </w:rPr>
  </w:style>
  <w:style w:type="character" w:styleId="WW8Num5z0">
    <w:name w:val="WW8Num5z0"/>
    <w:qFormat/>
    <w:rPr>
      <w:rFonts w:ascii="Symbol" w:hAnsi="Symbol" w:cs="Symbol"/>
      <w:sz w:val="16"/>
    </w:rPr>
  </w:style>
  <w:style w:type="character" w:styleId="WW8Num6z0">
    <w:name w:val="WW8Num6z0"/>
    <w:qFormat/>
    <w:rPr>
      <w:rFonts w:ascii="Symbol" w:hAnsi="Symbol" w:cs="Symbol"/>
      <w:sz w:val="16"/>
    </w:rPr>
  </w:style>
  <w:style w:type="character" w:styleId="WW8NumSt5z0">
    <w:name w:val="WW8NumSt5z0"/>
    <w:qFormat/>
    <w:rPr>
      <w:rFonts w:ascii="Symbol" w:hAnsi="Symbol" w:cs="Symbol"/>
    </w:rPr>
  </w:style>
  <w:style w:type="character" w:styleId="DefaultParagraphFont">
    <w:name w:val="Default Paragraph Font"/>
    <w:qFormat/>
    <w:rPr/>
  </w:style>
  <w:style w:type="character" w:styleId="Strong">
    <w:name w:val="Strong"/>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quote">
    <w:name w:val="Blockquote"/>
    <w:basedOn w:val="Normal"/>
    <w:qFormat/>
    <w:pPr>
      <w:spacing w:before="100" w:after="100"/>
      <w:ind w:hanging="0" w:start="360" w:end="360"/>
    </w:pPr>
    <w:rPr>
      <w:sz w:val="24"/>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2001-03-28T14:29:00Z</dcterms:created>
  <dc:creator>bledene</dc:creator>
  <dc:description/>
  <dc:language>en-CA</dc:language>
  <cp:lastModifiedBy>bledene</cp:lastModifiedBy>
  <dcterms:modified xsi:type="dcterms:W3CDTF">2001-04-09T20:17:00Z</dcterms:modified>
  <cp:revision>7</cp:revision>
  <dc:subject/>
  <dc:title>Wild Goose Storage Inc</dc:title>
</cp:coreProperties>
</file>