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right" w:pos="9360" w:leader="none"/>
        </w:tabs>
        <w:rPr/>
      </w:pPr>
      <w:r>
        <w:rPr/>
      </w:r>
      <w:r>
        <w:rPr/>
        <w:tab/>
        <w:t>PRIVILEGED AND CONFIDENTIAL</w:t>
      </w:r>
    </w:p>
    <w:p>
      <w:pPr>
        <w:pStyle w:val="Normal"/>
        <w:widowControl w:val="false"/>
        <w:tabs>
          <w:tab w:val="clear" w:pos="720"/>
          <w:tab w:val="right" w:pos="9360" w:leader="none"/>
        </w:tabs>
        <w:rPr/>
      </w:pPr>
      <w:r>
        <w:rPr/>
        <w:tab/>
        <w:t>ATTORNEY/CLIENT WORK PRODUCT</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jc w:val="center"/>
        <w:rPr>
          <w:sz w:val="32"/>
        </w:rPr>
      </w:pPr>
      <w:r>
        <w:rPr>
          <w:sz w:val="32"/>
        </w:rPr>
        <w:t>Brown, Williams, Moorhead &amp; Quinn, Inc.</w:t>
      </w:r>
    </w:p>
    <w:p>
      <w:pPr>
        <w:pStyle w:val="Normal"/>
        <w:widowControl w:val="false"/>
        <w:jc w:val="center"/>
        <w:rPr>
          <w:sz w:val="32"/>
        </w:rPr>
      </w:pPr>
      <w:r>
        <w:rPr>
          <w:sz w:val="32"/>
        </w:rPr>
      </w:r>
    </w:p>
    <w:p>
      <w:pPr>
        <w:pStyle w:val="Normal"/>
        <w:widowControl w:val="false"/>
        <w:jc w:val="center"/>
        <w:rPr>
          <w:sz w:val="32"/>
        </w:rPr>
      </w:pPr>
      <w:r>
        <w:rPr>
          <w:sz w:val="32"/>
        </w:rPr>
        <w:t>Report on</w:t>
      </w:r>
    </w:p>
    <w:p>
      <w:pPr>
        <w:pStyle w:val="Normal"/>
        <w:widowControl w:val="false"/>
        <w:jc w:val="center"/>
        <w:rPr>
          <w:sz w:val="32"/>
        </w:rPr>
      </w:pPr>
      <w:r>
        <w:rPr>
          <w:sz w:val="32"/>
        </w:rPr>
      </w:r>
    </w:p>
    <w:p>
      <w:pPr>
        <w:pStyle w:val="Normal"/>
        <w:widowControl w:val="false"/>
        <w:jc w:val="center"/>
        <w:rPr>
          <w:sz w:val="32"/>
        </w:rPr>
      </w:pPr>
      <w:r>
        <w:rPr>
          <w:sz w:val="32"/>
        </w:rPr>
        <w:t>Enron North America’s</w:t>
      </w:r>
    </w:p>
    <w:p>
      <w:pPr>
        <w:pStyle w:val="Normal"/>
        <w:widowControl w:val="false"/>
        <w:jc w:val="center"/>
        <w:rPr>
          <w:sz w:val="32"/>
        </w:rPr>
      </w:pPr>
      <w:r>
        <w:rPr>
          <w:sz w:val="32"/>
        </w:rPr>
      </w:r>
    </w:p>
    <w:p>
      <w:pPr>
        <w:pStyle w:val="Normal"/>
        <w:widowControl w:val="false"/>
        <w:jc w:val="center"/>
        <w:rPr>
          <w:sz w:val="32"/>
        </w:rPr>
      </w:pPr>
      <w:r>
        <w:rPr>
          <w:sz w:val="32"/>
        </w:rPr>
        <w:t>ENA Proposed Base Gas Transaction Structures</w:t>
      </w:r>
    </w:p>
    <w:p>
      <w:pPr>
        <w:pStyle w:val="Normal"/>
        <w:widowControl w:val="false"/>
        <w:jc w:val="center"/>
        <w:rPr>
          <w:sz w:val="32"/>
        </w:rPr>
      </w:pPr>
      <w:r>
        <w:rPr>
          <w:sz w:val="32"/>
        </w:rPr>
      </w:r>
    </w:p>
    <w:p>
      <w:pPr>
        <w:pStyle w:val="Normal"/>
        <w:widowControl w:val="false"/>
        <w:jc w:val="center"/>
        <w:rPr>
          <w:sz w:val="32"/>
        </w:rPr>
      </w:pPr>
      <w:r>
        <w:rPr>
          <w:sz w:val="32"/>
        </w:rPr>
      </w:r>
    </w:p>
    <w:p>
      <w:pPr>
        <w:pStyle w:val="Normal"/>
        <w:widowControl w:val="false"/>
        <w:jc w:val="center"/>
        <w:rPr>
          <w:sz w:val="32"/>
        </w:rPr>
      </w:pPr>
      <w:r>
        <w:rPr>
          <w:sz w:val="32"/>
        </w:rPr>
      </w:r>
    </w:p>
    <w:p>
      <w:pPr>
        <w:pStyle w:val="Normal"/>
        <w:widowControl w:val="false"/>
        <w:jc w:val="center"/>
        <w:rPr>
          <w:sz w:val="32"/>
        </w:rPr>
      </w:pPr>
      <w:r>
        <w:rPr>
          <w:sz w:val="32"/>
        </w:rPr>
      </w:r>
    </w:p>
    <w:p>
      <w:pPr>
        <w:pStyle w:val="Normal"/>
        <w:widowControl w:val="false"/>
        <w:jc w:val="center"/>
        <w:rPr>
          <w:sz w:val="32"/>
        </w:rPr>
      </w:pPr>
      <w:r>
        <w:rPr>
          <w:sz w:val="32"/>
        </w:rPr>
      </w:r>
    </w:p>
    <w:p>
      <w:pPr>
        <w:pStyle w:val="Normal"/>
        <w:widowControl w:val="false"/>
        <w:jc w:val="center"/>
        <w:rPr>
          <w:sz w:val="32"/>
        </w:rPr>
      </w:pPr>
      <w:r>
        <w:rPr>
          <w:sz w:val="32"/>
        </w:rPr>
      </w:r>
    </w:p>
    <w:p>
      <w:pPr>
        <w:pStyle w:val="Normal"/>
        <w:widowControl w:val="false"/>
        <w:jc w:val="center"/>
        <w:rPr>
          <w:sz w:val="32"/>
        </w:rPr>
      </w:pPr>
      <w:r>
        <w:rPr>
          <w:sz w:val="32"/>
        </w:rPr>
      </w:r>
    </w:p>
    <w:p>
      <w:pPr>
        <w:pStyle w:val="Normal"/>
        <w:widowControl w:val="false"/>
        <w:jc w:val="center"/>
        <w:rPr>
          <w:sz w:val="32"/>
        </w:rPr>
      </w:pPr>
      <w:r>
        <w:rPr>
          <w:sz w:val="32"/>
        </w:rPr>
      </w:r>
    </w:p>
    <w:p>
      <w:pPr>
        <w:pStyle w:val="Normal"/>
        <w:widowControl w:val="false"/>
        <w:jc w:val="center"/>
        <w:rPr>
          <w:sz w:val="32"/>
        </w:rPr>
      </w:pPr>
      <w:r>
        <w:rPr>
          <w:sz w:val="32"/>
        </w:rPr>
      </w:r>
    </w:p>
    <w:p>
      <w:pPr>
        <w:pStyle w:val="Normal"/>
        <w:widowControl w:val="false"/>
        <w:jc w:val="center"/>
        <w:rPr>
          <w:sz w:val="32"/>
        </w:rPr>
      </w:pPr>
      <w:r>
        <w:rPr>
          <w:sz w:val="32"/>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val="false"/>
        <w:jc w:val="center"/>
        <w:rPr>
          <w:sz w:val="32"/>
        </w:rPr>
      </w:pPr>
      <w:r>
        <w:rPr>
          <w:sz w:val="32"/>
        </w:rPr>
        <w:t>July 27, 2001</w:t>
      </w:r>
    </w:p>
    <w:p>
      <w:pPr>
        <w:pStyle w:val="Normal"/>
        <w:spacing w:lineRule="auto" w:line="480"/>
        <w:jc w:val="center"/>
        <w:rPr>
          <w:sz w:val="32"/>
        </w:rPr>
      </w:pPr>
      <w:r>
        <w:rPr>
          <w:sz w:val="32"/>
        </w:rPr>
      </w:r>
    </w:p>
    <w:p>
      <w:pPr>
        <w:sectPr>
          <w:headerReference w:type="even" r:id="rId6"/>
          <w:headerReference w:type="default" r:id="rId7"/>
          <w:headerReference w:type="first" r:id="rId8"/>
          <w:footerReference w:type="even" r:id="rId9"/>
          <w:footerReference w:type="default" r:id="rId10"/>
          <w:footerReference w:type="first" r:id="rId11"/>
          <w:type w:val="nextPage"/>
          <w:pgSz w:w="12240" w:h="15840"/>
          <w:pgMar w:left="1440" w:right="1440" w:gutter="0" w:header="1440" w:top="1496" w:footer="1440" w:bottom="1920"/>
          <w:pgNumType w:start="1" w:fmt="lowerRoman"/>
          <w:formProt w:val="false"/>
          <w:textDirection w:val="lrTb"/>
          <w:docGrid w:type="default" w:linePitch="360" w:charSpace="0"/>
        </w:sectPr>
      </w:pPr>
    </w:p>
    <w:p>
      <w:pPr>
        <w:pStyle w:val="Normal"/>
        <w:tabs>
          <w:tab w:val="clear" w:pos="720"/>
          <w:tab w:val="center" w:pos="4680" w:leader="none"/>
        </w:tabs>
        <w:spacing w:lineRule="auto" w:line="480"/>
        <w:rPr/>
      </w:pPr>
      <w:r>
        <w:rPr/>
        <w:tab/>
      </w:r>
      <w:r>
        <w:rPr>
          <w:b/>
        </w:rPr>
        <w:t>EXECUTIVE SUMMARY</w:t>
      </w:r>
    </w:p>
    <w:p>
      <w:pPr>
        <w:pStyle w:val="Normal"/>
        <w:spacing w:lineRule="auto" w:line="480"/>
        <w:rPr/>
      </w:pPr>
      <w:r>
        <w:rPr/>
        <w:tab/>
        <w:t xml:space="preserve">BWMQ has been requested to review and analyze a concept presented by Enron North America entitled </w:t>
      </w:r>
      <w:r>
        <w:rPr>
          <w:b/>
        </w:rPr>
        <w:t>ENA Proposed Base Gas Transaction Structures</w:t>
      </w:r>
      <w:r>
        <w:rPr/>
        <w:t xml:space="preserve"> (hereafter the “Proposal”) for the purpose of determining: (i) whether it is possible to obtain regulatory approval of the Proposal; and (ii) if it is possible to obtain such approval, what is the most efficient way to proceed to achieve the desired goal of the Proposal.</w:t>
      </w:r>
    </w:p>
    <w:p>
      <w:pPr>
        <w:pStyle w:val="Normal"/>
        <w:spacing w:lineRule="auto" w:line="480"/>
        <w:rPr/>
      </w:pPr>
      <w:r>
        <w:rPr/>
        <w:tab/>
        <w:t>In its review and analysis, BWMQ has determined that there are a number of issues which must be addressed to the satisfaction of the FERC, or other regulatory agency having jurisdiction,</w:t>
      </w:r>
      <w:r>
        <w:rPr>
          <w:rStyle w:val="FootnoteReference"/>
          <w:vertAlign w:val="superscript"/>
        </w:rPr>
        <w:footnoteReference w:id="2"/>
      </w:r>
      <w:r>
        <w:rPr/>
        <w:t>/ before implementation of the Proposal by a pipeline can be approved.  First, there must be a clear demonstration by the pipeline that the finding of excess base gas in a storage reservoir and its sale at current market prices (as reflected in the Proposal) will not impair the pipeline’s ability to continue to render services to its customers from the storage reservoir.  Second, there must be a clear demonstration to support the need to sell such gas.  This support must include a clear demonstration of the intended use of the funds to be raised by the sale.  In that connection, the Proposal envisions that the net funds available from the sale will be used to finance the cost of constructing system enhancement facilities for the pipeline, which will be used to provide new and expanded services for the pipeline’s customers.  Third, there must be a showing of the benefits the Proposal will provide to the pipeline’s customers and that the benefits will be commensurate with any costs the pipeline’s customers will incur resulting from the Proposal.  Finally, it will be necessary to show that the Proposal is consistent with all applicable regulations and policies and that all rates resulting from implementation of the Proposal will be just and reasonable.</w:t>
      </w:r>
    </w:p>
    <w:p>
      <w:pPr>
        <w:pStyle w:val="Normal"/>
        <w:spacing w:lineRule="auto" w:line="480"/>
        <w:rPr/>
      </w:pPr>
      <w:r>
        <w:rPr/>
        <w:tab/>
        <w:t>With regard to applicable regulations, the FERC has adopted regulations relating to accounting for gas in storage fields.  Those regulations require pipelines to classify the cost of gas stored in a pipeline’s storage reservoirs either as base gas or system balancing gas (i.e. gas which is needed by a pipeline to maintain balances between receipts of customer-owned gas and deliveries of such gas).  The regulations address how gains and losses are to be accounted with respect to customer imbalances related to storage gas; however, they do not address the accounting for any other gains and losses on disposition of base gas.  Based on BWMQ’s analysis of the FERC’s accounting regulations, it is believed that the disposition of the net funds resulting from the sale of excess base gas, as contemplated by the Proposal, will not be determined by the accounting regulations.  Instead, the disposition of any gains resulting from any such sale will be determined based on rate policies.</w:t>
      </w:r>
    </w:p>
    <w:p>
      <w:pPr>
        <w:pStyle w:val="Normal"/>
        <w:spacing w:lineRule="auto" w:line="480"/>
        <w:rPr/>
      </w:pPr>
      <w:r>
        <w:rPr/>
        <w:tab/>
        <w:t>With regard to the FERC’s rate policies related to the sale of base gas, BWMQ reviewed numerous cases which most likely will have a bearing on the treatment of any gains realized from such a sale.  Those cases generally have held that there must be a sharing of any gains resulting from a sale with the pipeline’s customers.  Therefore, BWMQ believes that, if the net funds realized from any such sale are to be retained by the pipeline, it will be essential to distinguish the retention of the net funds, as contemplated by the Proposal, and the general holding of the cases reviewed by BWMQ.  The primary issue to resolved in making the distinction will be whether the pipeline’s customers will receive commensurate benefits and that such benefits can readily be quantified.</w:t>
      </w:r>
    </w:p>
    <w:p>
      <w:pPr>
        <w:pStyle w:val="Normal"/>
        <w:spacing w:lineRule="auto" w:line="480"/>
        <w:rPr/>
      </w:pPr>
      <w:r>
        <w:rPr/>
        <w:tab/>
        <w:t>A significant element of the Proposal is that the net funds resulting from the sale of the excess base gas will be utilized to finance the cost of system expansion and enhancement facilities.  Such financing will be accomplished through off-balance sheet financing, which BWMQ recommends be done through the establishment of a Limited Liability Corporation or Limited Partnership (hereafter jointly referred to as “LLC”). The net funds realized from the base gas sale would be invested by the partnership as equity funds in the LLC, which, in turn, would be able to leverage those funds three, four or more times through the issuance of debt securities.  Because of the low equity relative to debt in the LLC, the return and related income taxes applicable to the enhancement facilities will be much less than if the cost of those facilities were financed by the pipeline itself.  As contemplated in the Proposal this lower cost financing should be used by the pipeline in its ratemaking, thus providing its ratepayers with the reduced cost of financing the system enhancement facilities.  This technique will roll in the lower financing cost for the enhanced facilities with the pipeline’s existing facilities financed with traditional financing, i.e., parent’s capital structure.  Hence, the pipeline’s customers will receive commensurate benefits.</w:t>
      </w:r>
    </w:p>
    <w:p>
      <w:pPr>
        <w:pStyle w:val="Normal"/>
        <w:spacing w:lineRule="auto" w:line="480"/>
        <w:rPr/>
      </w:pPr>
      <w:r>
        <w:rPr/>
        <w:tab/>
        <w:t>BWMQ’s suggested improvement to the proposal would have the LLC have title to the enhanced expansion facilities.  Through a Section 4 determination, the pipeline would have rates that include the cost of financing the enhanced expansion facilities.  The pipeline would have an obligation to the LLC to pay a predetermined levelized return allowance sufficient to cover the LLC’s debt service cost and provide a return allowance on the equity funds generated from the sale of base gas advanced to the LLC.  From this equity return, the LLC would have an obligation to pay a portion of the PSA cost.  The LLC would also have an obligation to ensure that the subsequent repricing of base gas is within a reasonable range.  BWMQ believes that this obligation can be accomplished through hedging.</w:t>
      </w:r>
    </w:p>
    <w:p>
      <w:pPr>
        <w:pStyle w:val="Normal"/>
        <w:spacing w:lineRule="auto" w:line="480"/>
        <w:rPr/>
      </w:pPr>
      <w:r>
        <w:rPr/>
        <w:tab/>
        <w:t xml:space="preserve">BWMQ would also suggest that the eventual repricing of the base gas should be accomplished by the LLC through the further use of off balance sheet financing, thus reducing the ratepayers rate obligations in future rate proceedings.  As a result, BWMQ believes the FERC will not be averse to the pipeline retaining a major portion of the net funds realized from the base gas sale. </w:t>
      </w:r>
    </w:p>
    <w:p>
      <w:pPr>
        <w:pStyle w:val="Normal"/>
        <w:spacing w:lineRule="auto" w:line="480"/>
        <w:rPr/>
      </w:pPr>
      <w:r>
        <w:rPr/>
        <w:tab/>
        <w:t>One question raised in ENA’s presentation of the Proposal is whether hedging the cost of replacement gas would be viewed with disfavor by the FERC.  In its review, BWMQ was unable to find any cases in which the FERC specifically has ruled that hedging was either prudent or imprudent.  Despite not having ruled on the prudence of hedging, the FERC periodically has discussed hedging informally in its meetings and in public forums; however, it has not established a policy with respect to hedging.  Instead, the FERC traditionally has taken the position that management is in a better position to make decisions on the financial and physical operations of a pipeline.  Further, there is a presumption of prudence on the part of management that must be rebutted with compelling evidence by those who would have costs disallowed as imprudent.  After reviewing the matter of hedging, BWMQ believes that, if the net revenues resulting from the base gas sale are totally retained by the pipeline making the sale, it will be difficult to pass on to the pipeline’s customers any costs associated with hedging.  The ability to pass on hedging costs, much like other costs associated with the Proposal, largely will depend upon the extent to which the pipeline’s customers receive commensurate and quantifiable benefits from the Proposal.</w:t>
      </w:r>
    </w:p>
    <w:p>
      <w:pPr>
        <w:pStyle w:val="Normal"/>
        <w:spacing w:lineRule="auto" w:line="480"/>
        <w:rPr/>
      </w:pPr>
      <w:r>
        <w:rPr/>
        <w:tab/>
        <w:t xml:space="preserve"> In conclusion, BWMQ believes it is possible that the Proposal can receive FERC’s approval; however, it is BWMQ’s belief that the most likely way to receive such approval is for the pipeline to establish an LLC, which will obtain leveraged off-balance financing.  This method will result in much lower costs to a pipeline’s customers, while providing the capital to construct new and enhancement facilities to be used by the pipeline to meet the growing requirements of the pipeline’s customers.</w:t>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sectPr>
          <w:footnotePr>
            <w:numFmt w:val="decimal"/>
          </w:footnotePr>
          <w:type w:val="continuous"/>
          <w:pgSz w:w="12240" w:h="15840"/>
          <w:pgMar w:left="1440" w:right="1440" w:gutter="0" w:header="1440" w:top="1496" w:footer="1440" w:bottom="1920"/>
          <w:formProt w:val="false"/>
          <w:textDirection w:val="lrTb"/>
          <w:docGrid w:type="default" w:linePitch="360" w:charSpace="0"/>
        </w:sectPr>
        <w:pStyle w:val="Normal"/>
        <w:spacing w:lineRule="auto" w:line="480"/>
        <w:rPr/>
      </w:pPr>
      <w:r>
        <w:rPr/>
        <w:tab/>
        <w:tab/>
        <w:tab/>
        <w:tab/>
        <w:tab/>
        <w:tab/>
        <w:tab/>
        <w:tab/>
      </w:r>
      <w:r>
        <w:br w:type="page"/>
      </w:r>
    </w:p>
    <w:p>
      <w:pPr>
        <w:pStyle w:val="Normal"/>
        <w:spacing w:lineRule="auto" w:line="480"/>
        <w:rPr/>
      </w:pPr>
      <w:r>
        <w:rPr/>
      </w:r>
    </w:p>
    <w:p>
      <w:pPr>
        <w:sectPr>
          <w:headerReference w:type="even" r:id="rId12"/>
          <w:headerReference w:type="default" r:id="rId13"/>
          <w:footerReference w:type="even" r:id="rId14"/>
          <w:footerReference w:type="default" r:id="rId15"/>
          <w:footnotePr>
            <w:numFmt w:val="decimal"/>
          </w:footnotePr>
          <w:type w:val="nextPage"/>
          <w:pgSz w:w="12240" w:h="15840"/>
          <w:pgMar w:left="1440" w:right="1440" w:gutter="0" w:header="1440" w:top="2078" w:footer="1440" w:bottom="1496"/>
          <w:pgNumType w:fmt="lowerRoman"/>
          <w:formProt w:val="false"/>
          <w:textDirection w:val="lrTb"/>
          <w:docGrid w:type="default" w:linePitch="360" w:charSpace="0"/>
        </w:sectPr>
      </w:pPr>
    </w:p>
    <w:p>
      <w:pPr>
        <w:pStyle w:val="Normal"/>
        <w:tabs>
          <w:tab w:val="clear" w:pos="720"/>
          <w:tab w:val="center" w:pos="4680" w:leader="none"/>
        </w:tabs>
        <w:spacing w:lineRule="auto" w:line="480"/>
        <w:rPr/>
      </w:pPr>
      <w:r>
        <w:rPr>
          <w:b/>
        </w:rPr>
        <w:tab/>
      </w:r>
      <w:r>
        <w:rPr/>
        <w:t>Table of Contents</w:t>
      </w:r>
    </w:p>
    <w:sdt>
      <w:sdtPr>
        <w:docPartObj>
          <w:docPartGallery w:val="Table of Contents"/>
          <w:docPartUnique w:val="true"/>
        </w:docPartObj>
      </w:sdtPr>
      <w:sdtContent>
        <w:p>
          <w:pPr>
            <w:pStyle w:val="Normal"/>
            <w:spacing w:lineRule="auto" w:line="480"/>
            <w:rPr>
              <w:b/>
            </w:rPr>
          </w:pPr>
          <w:r>
            <w:fldChar w:fldCharType="begin"/>
          </w:r>
          <w:r>
            <w:rPr>
              <w:b/>
            </w:rPr>
            <w:instrText xml:space="preserve"> TOC \f \* MERGEFORMAT \l "1-1" </w:instrText>
          </w:r>
          <w:r>
            <w:rPr>
              <w:b/>
            </w:rPr>
            <w:fldChar w:fldCharType="separate"/>
          </w:r>
          <w:r>
            <w:rPr>
              <w:b/>
            </w:rPr>
          </w:r>
        </w:p>
        <w:p>
          <w:pPr>
            <w:pStyle w:val="Normal"/>
            <w:tabs>
              <w:tab w:val="clear" w:pos="720"/>
              <w:tab w:val="right" w:pos="9360" w:leader="dot"/>
            </w:tabs>
            <w:spacing w:lineRule="auto" w:line="480"/>
            <w:ind w:hanging="720" w:start="720" w:end="0"/>
            <w:rPr>
              <w:b/>
            </w:rPr>
          </w:pPr>
          <w:r>
            <w:rPr>
              <w:b/>
            </w:rPr>
            <w:t>Introduction</w:t>
            <w:tab/>
            <w:t>-1-</w:t>
          </w:r>
        </w:p>
        <w:p>
          <w:pPr>
            <w:pStyle w:val="Normal"/>
            <w:spacing w:lineRule="auto" w:line="480"/>
            <w:rPr>
              <w:b/>
            </w:rPr>
          </w:pPr>
          <w:r>
            <w:rPr>
              <w:b/>
            </w:rPr>
          </w:r>
        </w:p>
        <w:p>
          <w:pPr>
            <w:pStyle w:val="Normal"/>
            <w:tabs>
              <w:tab w:val="clear" w:pos="720"/>
              <w:tab w:val="right" w:pos="9360" w:leader="dot"/>
            </w:tabs>
            <w:spacing w:lineRule="auto" w:line="480"/>
            <w:ind w:hanging="720" w:start="720" w:end="0"/>
            <w:rPr>
              <w:b/>
            </w:rPr>
          </w:pPr>
          <w:r>
            <w:rPr>
              <w:b/>
            </w:rPr>
            <w:t>Is the Proposed Base Gas Transaction Structure Feasible From a Regulatory Standpoint?</w:t>
            <w:br/>
            <w:tab/>
            <w:t>-2-</w:t>
          </w:r>
        </w:p>
        <w:p>
          <w:pPr>
            <w:pStyle w:val="Normal"/>
            <w:spacing w:lineRule="auto" w:line="480"/>
            <w:rPr>
              <w:b/>
            </w:rPr>
          </w:pPr>
          <w:r>
            <w:rPr>
              <w:b/>
            </w:rPr>
          </w:r>
        </w:p>
        <w:p>
          <w:pPr>
            <w:pStyle w:val="Normal"/>
            <w:tabs>
              <w:tab w:val="clear" w:pos="720"/>
              <w:tab w:val="right" w:pos="9360" w:leader="dot"/>
            </w:tabs>
            <w:spacing w:lineRule="auto" w:line="480"/>
            <w:ind w:hanging="720" w:start="720" w:end="0"/>
            <w:rPr>
              <w:b/>
            </w:rPr>
          </w:pPr>
          <w:r>
            <w:rPr>
              <w:b/>
            </w:rPr>
            <w:t>Storage Operations</w:t>
            <w:tab/>
            <w:t>-2-</w:t>
          </w:r>
        </w:p>
        <w:p>
          <w:pPr>
            <w:pStyle w:val="Normal"/>
            <w:spacing w:lineRule="auto" w:line="480"/>
            <w:rPr>
              <w:b/>
            </w:rPr>
          </w:pPr>
          <w:r>
            <w:rPr>
              <w:b/>
            </w:rPr>
          </w:r>
        </w:p>
        <w:p>
          <w:pPr>
            <w:pStyle w:val="Normal"/>
            <w:tabs>
              <w:tab w:val="clear" w:pos="720"/>
              <w:tab w:val="right" w:pos="9360" w:leader="dot"/>
            </w:tabs>
            <w:spacing w:lineRule="auto" w:line="480"/>
            <w:ind w:hanging="720" w:start="720" w:end="0"/>
            <w:rPr>
              <w:b/>
            </w:rPr>
          </w:pPr>
          <w:r>
            <w:rPr>
              <w:b/>
            </w:rPr>
            <w:t>Accounting for Gas Storage Inventory - Pre Order No. 636</w:t>
            <w:tab/>
            <w:t>-5-</w:t>
          </w:r>
        </w:p>
        <w:p>
          <w:pPr>
            <w:pStyle w:val="Normal"/>
            <w:spacing w:lineRule="auto" w:line="480"/>
            <w:rPr>
              <w:b/>
            </w:rPr>
          </w:pPr>
          <w:r>
            <w:rPr>
              <w:b/>
            </w:rPr>
          </w:r>
        </w:p>
        <w:p>
          <w:pPr>
            <w:pStyle w:val="Normal"/>
            <w:tabs>
              <w:tab w:val="clear" w:pos="720"/>
              <w:tab w:val="right" w:pos="9360" w:leader="dot"/>
            </w:tabs>
            <w:spacing w:lineRule="auto" w:line="480"/>
            <w:ind w:hanging="720" w:start="720" w:end="0"/>
            <w:rPr>
              <w:b/>
            </w:rPr>
          </w:pPr>
          <w:r>
            <w:rPr>
              <w:b/>
            </w:rPr>
            <w:t>Accounting for Gas Storage Inventory - Post Order No. 636</w:t>
            <w:tab/>
            <w:t>-7-</w:t>
          </w:r>
        </w:p>
        <w:p>
          <w:pPr>
            <w:pStyle w:val="Normal"/>
            <w:spacing w:lineRule="auto" w:line="480"/>
            <w:rPr>
              <w:b/>
            </w:rPr>
          </w:pPr>
          <w:r>
            <w:rPr>
              <w:b/>
            </w:rPr>
          </w:r>
        </w:p>
        <w:p>
          <w:pPr>
            <w:pStyle w:val="Normal"/>
            <w:tabs>
              <w:tab w:val="clear" w:pos="720"/>
              <w:tab w:val="right" w:pos="9360" w:leader="dot"/>
            </w:tabs>
            <w:spacing w:lineRule="auto" w:line="480"/>
            <w:ind w:hanging="720" w:start="720" w:end="0"/>
            <w:rPr>
              <w:b/>
            </w:rPr>
          </w:pPr>
          <w:r>
            <w:rPr>
              <w:b/>
            </w:rPr>
            <w:t>Conclusion on Accounting Issues</w:t>
            <w:tab/>
            <w:t>-10-</w:t>
          </w:r>
        </w:p>
        <w:p>
          <w:pPr>
            <w:pStyle w:val="Normal"/>
            <w:spacing w:lineRule="auto" w:line="480"/>
            <w:rPr>
              <w:b/>
            </w:rPr>
          </w:pPr>
          <w:r>
            <w:rPr>
              <w:b/>
            </w:rPr>
          </w:r>
        </w:p>
        <w:p>
          <w:pPr>
            <w:pStyle w:val="Normal"/>
            <w:tabs>
              <w:tab w:val="clear" w:pos="720"/>
              <w:tab w:val="right" w:pos="9360" w:leader="dot"/>
            </w:tabs>
            <w:spacing w:lineRule="auto" w:line="480"/>
            <w:ind w:hanging="720" w:start="720" w:end="0"/>
            <w:rPr>
              <w:b/>
            </w:rPr>
          </w:pPr>
          <w:r>
            <w:rPr>
              <w:b/>
            </w:rPr>
            <w:t>Rate Treatment of Sale of Base Gas</w:t>
            <w:tab/>
            <w:t>-11-</w:t>
          </w:r>
        </w:p>
        <w:p>
          <w:pPr>
            <w:pStyle w:val="Normal"/>
            <w:spacing w:lineRule="auto" w:line="480"/>
            <w:rPr>
              <w:b/>
            </w:rPr>
          </w:pPr>
          <w:r>
            <w:rPr>
              <w:b/>
            </w:rPr>
          </w:r>
        </w:p>
        <w:p>
          <w:pPr>
            <w:pStyle w:val="Normal"/>
            <w:tabs>
              <w:tab w:val="clear" w:pos="720"/>
              <w:tab w:val="right" w:pos="9360" w:leader="dot"/>
            </w:tabs>
            <w:spacing w:lineRule="auto" w:line="480"/>
            <w:ind w:hanging="720" w:start="720" w:end="0"/>
            <w:rPr>
              <w:b/>
            </w:rPr>
          </w:pPr>
          <w:r>
            <w:rPr>
              <w:b/>
            </w:rPr>
            <w:t xml:space="preserve">Possible Alternatives to Proposal to Provide for Sharing of Benefits  </w:t>
            <w:tab/>
            <w:t>-19-</w:t>
          </w:r>
        </w:p>
        <w:p>
          <w:pPr>
            <w:pStyle w:val="Normal"/>
            <w:spacing w:lineRule="auto" w:line="480"/>
            <w:rPr>
              <w:b/>
            </w:rPr>
          </w:pPr>
          <w:r>
            <w:rPr>
              <w:b/>
            </w:rPr>
          </w:r>
        </w:p>
        <w:p>
          <w:pPr>
            <w:pStyle w:val="Normal"/>
            <w:tabs>
              <w:tab w:val="clear" w:pos="720"/>
              <w:tab w:val="right" w:pos="9360" w:leader="dot"/>
            </w:tabs>
            <w:spacing w:lineRule="auto" w:line="480"/>
            <w:ind w:hanging="720" w:start="720" w:end="0"/>
            <w:rPr>
              <w:b/>
            </w:rPr>
          </w:pPr>
          <w:r>
            <w:rPr>
              <w:b/>
            </w:rPr>
            <w:t>Hedging</w:t>
            <w:tab/>
            <w:t>-23-</w:t>
          </w:r>
        </w:p>
        <w:p>
          <w:pPr>
            <w:pStyle w:val="Normal"/>
            <w:spacing w:lineRule="auto" w:line="480"/>
            <w:rPr>
              <w:b/>
            </w:rPr>
          </w:pPr>
          <w:r>
            <w:rPr>
              <w:b/>
            </w:rPr>
          </w:r>
        </w:p>
        <w:p>
          <w:pPr>
            <w:pStyle w:val="Normal"/>
            <w:tabs>
              <w:tab w:val="clear" w:pos="720"/>
              <w:tab w:val="right" w:pos="9360" w:leader="dot"/>
            </w:tabs>
            <w:spacing w:lineRule="auto" w:line="480"/>
            <w:ind w:hanging="720" w:start="720" w:end="0"/>
            <w:rPr>
              <w:b/>
            </w:rPr>
          </w:pPr>
          <w:r>
            <w:rPr>
              <w:b/>
            </w:rPr>
            <w:t>What is the Appropriate Format to be used to Reprice the Base Gas?  (i.e., a limited Section 4 filing?  Section 7(c) certificate application? Etc.)</w:t>
            <w:tab/>
            <w:t>-26-</w:t>
          </w:r>
        </w:p>
        <w:p>
          <w:pPr>
            <w:pStyle w:val="Normal"/>
            <w:spacing w:lineRule="auto" w:line="480"/>
            <w:rPr>
              <w:b/>
            </w:rPr>
          </w:pPr>
          <w:r>
            <w:rPr>
              <w:b/>
            </w:rPr>
          </w:r>
        </w:p>
        <w:p>
          <w:pPr>
            <w:pStyle w:val="Normal"/>
            <w:tabs>
              <w:tab w:val="clear" w:pos="720"/>
              <w:tab w:val="right" w:pos="9360" w:leader="dot"/>
            </w:tabs>
            <w:spacing w:lineRule="auto" w:line="480"/>
            <w:ind w:hanging="720" w:start="720" w:end="0"/>
            <w:rPr>
              <w:b/>
            </w:rPr>
          </w:pPr>
          <w:r>
            <w:rPr>
              <w:b/>
            </w:rPr>
            <w:t>Which Elements/Parts of the Structure are Critical for the Structure as a Whole to Work?</w:t>
            <w:br/>
            <w:tab/>
            <w:t>-27-</w:t>
          </w:r>
        </w:p>
        <w:p>
          <w:pPr>
            <w:pStyle w:val="Normal"/>
            <w:spacing w:lineRule="auto" w:line="480"/>
            <w:rPr>
              <w:b/>
            </w:rPr>
          </w:pPr>
          <w:r>
            <w:rPr>
              <w:b/>
            </w:rPr>
          </w:r>
        </w:p>
        <w:p>
          <w:pPr>
            <w:pStyle w:val="Normal"/>
            <w:tabs>
              <w:tab w:val="clear" w:pos="720"/>
              <w:tab w:val="right" w:pos="9360" w:leader="dot"/>
            </w:tabs>
            <w:spacing w:lineRule="auto" w:line="480"/>
            <w:ind w:hanging="720" w:start="720" w:end="0"/>
            <w:rPr>
              <w:b/>
            </w:rPr>
          </w:pPr>
          <w:r>
            <w:rPr>
              <w:b/>
            </w:rPr>
            <w:t>From a Regulatory Perspective, How Can ENA’s Proposed Structure be Improved While Keeping Within the Accounting and Financial Constraints Detailed in ENA’s Presentation?</w:t>
            <w:tab/>
            <w:t>-28-</w:t>
          </w:r>
          <w:r>
            <w:rPr>
              <w:b/>
            </w:rPr>
            <w:fldChar w:fldCharType="end"/>
          </w:r>
        </w:p>
      </w:sdtContent>
    </w:sdt>
    <w:p>
      <w:pPr>
        <w:pStyle w:val="Normal"/>
        <w:numPr>
          <w:ilvl w:val="0"/>
          <w:numId w:val="0"/>
        </w:numPr>
        <w:spacing w:lineRule="auto" w:line="480"/>
        <w:rPr>
          <w:b/>
        </w:rPr>
      </w:pPr>
      <w:r>
        <w:rPr>
          <w:b/>
        </w:rPr>
      </w:r>
    </w:p>
    <w:p>
      <w:pPr>
        <w:sectPr>
          <w:footnotePr>
            <w:numFmt w:val="decimal"/>
          </w:footnotePr>
          <w:type w:val="continuous"/>
          <w:pgSz w:w="12240" w:h="15840"/>
          <w:pgMar w:left="1440" w:right="1440" w:gutter="0" w:header="1440" w:top="2078" w:footer="1440" w:bottom="1496"/>
          <w:formProt w:val="false"/>
          <w:textDirection w:val="lrTb"/>
          <w:docGrid w:type="default" w:linePitch="360" w:charSpace="0"/>
        </w:sectPr>
      </w:pPr>
    </w:p>
    <w:p>
      <w:pPr>
        <w:pStyle w:val="Normal"/>
        <w:spacing w:lineRule="auto" w:line="480"/>
        <w:rPr/>
      </w:pPr>
      <w:r>
        <w:rPr/>
      </w:r>
    </w:p>
    <w:p>
      <w:pPr>
        <w:sectPr>
          <w:headerReference w:type="even" r:id="rId16"/>
          <w:headerReference w:type="default" r:id="rId17"/>
          <w:footerReference w:type="even" r:id="rId18"/>
          <w:footerReference w:type="default" r:id="rId19"/>
          <w:footnotePr>
            <w:numFmt w:val="decimal"/>
          </w:footnotePr>
          <w:type w:val="nextPage"/>
          <w:pgSz w:w="12240" w:h="15840"/>
          <w:pgMar w:left="1440" w:right="1440" w:gutter="0" w:header="1440" w:top="2078" w:footer="1440" w:bottom="1496"/>
          <w:pgNumType w:start="1" w:fmt="decimal"/>
          <w:formProt w:val="false"/>
          <w:textDirection w:val="lrTb"/>
          <w:docGrid w:type="default" w:linePitch="360" w:charSpace="0"/>
        </w:sectPr>
      </w:pPr>
    </w:p>
    <w:p>
      <w:pPr>
        <w:pStyle w:val="Normal"/>
        <w:spacing w:lineRule="auto" w:line="480"/>
        <w:rPr/>
      </w:pPr>
      <w:r>
        <w:rPr>
          <w:b/>
          <w:u w:val="single"/>
        </w:rPr>
        <w:t>Introduction</w:t>
      </w:r>
      <w:r>
        <w:fldChar w:fldCharType="begin"/>
      </w:r>
      <w:r>
        <w:rPr/>
        <w:instrText xml:space="preserve"> TC "_x000c_Introduction" \l 1 </w:instrText>
      </w:r>
      <w:r>
        <w:rPr/>
        <w:fldChar w:fldCharType="separate"/>
      </w:r>
      <w:r>
        <w:rPr/>
      </w:r>
      <w:r>
        <w:rPr/>
        <w:fldChar w:fldCharType="end"/>
      </w:r>
    </w:p>
    <w:p>
      <w:pPr>
        <w:sectPr>
          <w:footnotePr>
            <w:numFmt w:val="decimal"/>
          </w:footnotePr>
          <w:type w:val="continuous"/>
          <w:pgSz w:w="12240" w:h="15840"/>
          <w:pgMar w:left="1440" w:right="1440" w:gutter="0" w:header="1440" w:top="2078" w:footer="1440" w:bottom="1496"/>
          <w:formProt w:val="false"/>
          <w:textDirection w:val="lrTb"/>
          <w:docGrid w:type="default" w:linePitch="360" w:charSpace="0"/>
        </w:sectPr>
      </w:pPr>
    </w:p>
    <w:p>
      <w:pPr>
        <w:pStyle w:val="Normal"/>
        <w:spacing w:lineRule="auto" w:line="480"/>
        <w:rPr>
          <w:b/>
          <w:u w:val="single"/>
        </w:rPr>
      </w:pPr>
      <w:r>
        <w:rPr>
          <w:b/>
          <w:u w:val="single"/>
        </w:rPr>
      </w:r>
    </w:p>
    <w:p>
      <w:pPr>
        <w:pStyle w:val="Normal"/>
        <w:spacing w:lineRule="auto" w:line="480"/>
        <w:rPr/>
      </w:pPr>
      <w:r>
        <w:rPr/>
        <w:tab/>
        <w:t xml:space="preserve">Brown, Williams, Moorhead &amp; Quinn, Inc. (“BWMQ”) has analyzed and evaluated Enron North America’s (“ENA”) Proposed Base Gas Transaction Structures (the “Proposal”).  BWMQ analyzed the Proposal from a regulatory perspective with emphasis on the Federal Energy Regulatory Commission’s (“FERC”) regulations, requirements and policy.  </w:t>
      </w:r>
    </w:p>
    <w:p>
      <w:pPr>
        <w:pStyle w:val="Normal"/>
        <w:spacing w:lineRule="auto" w:line="480"/>
        <w:rPr/>
      </w:pPr>
      <w:r>
        <w:rPr/>
        <w:tab/>
        <w:t xml:space="preserve">In particular, the Proposal envisions enhancing the value of existing assets and providing financing for facility expansion through the use of net funds obtained from the sale of excess or liberated storage base gas together with additional funds raised through off the balance sheet financing.  ENA has identified a significant amount of base gas in storage facilities owned by a number of natural gas companies across the United States, which base gas is currently valued on the books of such companies at $1.00 or less. Current market prices of gas are between $3.50 and $4.00.   </w:t>
      </w:r>
    </w:p>
    <w:p>
      <w:pPr>
        <w:pStyle w:val="Normal"/>
        <w:spacing w:lineRule="auto" w:line="480"/>
        <w:rPr/>
      </w:pPr>
      <w:r>
        <w:rPr/>
        <w:tab/>
        <w:t xml:space="preserve"> The Proposal contemplates that the excess base gas would be sold to a purchaser arranged by ENA at the current market price. The proceeds from this sale would equal the principal amount of a 5-year loan to the purchaser by ENA. The purchaser would agree with the pipeline to a physical sale of the base gas, with a withdrawal schedule covering a 5 year period which would coincide with the 5-year term of the loan.  </w:t>
      </w:r>
    </w:p>
    <w:p>
      <w:pPr>
        <w:pStyle w:val="Normal"/>
        <w:spacing w:lineRule="auto" w:line="480"/>
        <w:rPr/>
      </w:pPr>
      <w:r>
        <w:rPr/>
        <w:tab/>
        <w:t xml:space="preserve">The Proposal also contemplates that the pipeline would enter into a Pressurization Service Agreement (“PSA”) with a company arranged by ENA. The purpose of the PSA is  to accommodate the physical pressure requirements associated with the sold base gas.  It is intended that the payment made under the PSA would represent interest paid on the loan.  The pipeline and the purchaser would agree that prior to the expiration of the 5 year period, they will exchange the physical gas due to be replaced in storage for a financial settlement or for physical gas elsewhere on the pipeline.  At the end of the 5 year period, the pipeline must be able to reprice or “put back” the higher gas prices in rate base. </w:t>
      </w:r>
    </w:p>
    <w:p>
      <w:pPr>
        <w:pStyle w:val="Normal"/>
        <w:spacing w:lineRule="auto" w:line="480"/>
        <w:rPr/>
      </w:pPr>
      <w:r>
        <w:rPr/>
        <w:tab/>
        <w:t>The results of BWMQ’s analysis and evaluation is discussed below.</w:t>
      </w:r>
    </w:p>
    <w:p>
      <w:pPr>
        <w:pStyle w:val="Normal"/>
        <w:spacing w:lineRule="auto" w:line="480"/>
        <w:rPr>
          <w:u w:val="single"/>
        </w:rPr>
      </w:pPr>
      <w:r>
        <w:rPr>
          <w:u w:val="single"/>
        </w:rPr>
        <w:tab/>
        <w:tab/>
        <w:tab/>
        <w:tab/>
        <w:tab/>
        <w:tab/>
        <w:tab/>
      </w:r>
    </w:p>
    <w:p>
      <w:pPr>
        <w:pStyle w:val="Normal"/>
        <w:spacing w:lineRule="auto" w:line="480"/>
        <w:rPr/>
      </w:pPr>
      <w:r>
        <w:rPr>
          <w:b/>
          <w:u w:val="single"/>
        </w:rPr>
        <w:t>Is the Proposed Base Gas Transaction Structure Feasible From a Regulatory Standpoint?</w:t>
      </w:r>
      <w:r>
        <w:fldChar w:fldCharType="begin"/>
      </w:r>
      <w:r>
        <w:rPr/>
        <w:instrText xml:space="preserve"> TC "Is the Proposed Base Gas Transaction Structure Feasible From a Regulatory Standpoint?" \l 1 </w:instrText>
      </w:r>
      <w:r>
        <w:rPr/>
        <w:fldChar w:fldCharType="separate"/>
      </w:r>
      <w:r>
        <w:rPr/>
      </w:r>
      <w:r>
        <w:rPr/>
        <w:fldChar w:fldCharType="end"/>
      </w:r>
    </w:p>
    <w:p>
      <w:pPr>
        <w:pStyle w:val="Normal"/>
        <w:spacing w:lineRule="auto" w:line="480"/>
        <w:rPr/>
      </w:pPr>
      <w:r>
        <w:rPr/>
        <w:tab/>
        <w:t>The Proposed Base Gas Transaction Structure raises a number of issues which must be addressed to FERC’s (“Commission’s”) satisfaction before such a proposal could be approved.  Initially, the Commission must be satisfied that the proposal would not affect the level and reliability of services, which are  provided currently and are dependent upon the operation of the pipeline’s storage facilities.  The Commission will also need a demonstration of the benefits that such a proposal would provide to the pipeline’s customers and also that the benefits will be commensurate with any costs which the customers would incur as a result of this proposal.  Finally, the Commission will require that the proposal is consistent with its regulations and policies and that any changes in rates will result in just and reasonable rates.  We discuss these issues below.</w:t>
      </w:r>
    </w:p>
    <w:p>
      <w:pPr>
        <w:pStyle w:val="Normal"/>
        <w:spacing w:lineRule="auto" w:line="480"/>
        <w:rPr>
          <w:b/>
          <w:u w:val="single"/>
        </w:rPr>
      </w:pPr>
      <w:r>
        <w:rPr>
          <w:b/>
          <w:u w:val="single"/>
        </w:rPr>
      </w:r>
    </w:p>
    <w:p>
      <w:pPr>
        <w:pStyle w:val="Normal"/>
        <w:spacing w:lineRule="auto" w:line="480"/>
        <w:rPr/>
      </w:pPr>
      <w:r>
        <w:rPr>
          <w:b/>
          <w:u w:val="single"/>
        </w:rPr>
        <w:t>Storage Operations</w:t>
      </w:r>
      <w:r>
        <w:fldChar w:fldCharType="begin"/>
      </w:r>
      <w:r>
        <w:rPr/>
        <w:instrText xml:space="preserve"> TC "Storage Operations" \l 1 </w:instrText>
      </w:r>
      <w:r>
        <w:rPr/>
        <w:fldChar w:fldCharType="separate"/>
      </w:r>
      <w:r>
        <w:rPr/>
      </w:r>
      <w:r>
        <w:rPr/>
        <w:fldChar w:fldCharType="end"/>
      </w:r>
    </w:p>
    <w:p>
      <w:pPr>
        <w:pStyle w:val="Normal"/>
        <w:spacing w:lineRule="auto" w:line="480"/>
        <w:rPr/>
      </w:pPr>
      <w:r>
        <w:rPr/>
        <w:tab/>
        <w:t>The FERC recognizes that storage fields operated by its regulated pipeline companies, in addition to playing a critical role in the delivery of peak requirements also play an essential role in the balancing activity on their systems and in the delivery of no-notice service.  To that end, there are certain operational parameters which must be followed in order to maintain the integrity of storage fields and the service they render.</w:t>
      </w:r>
    </w:p>
    <w:p>
      <w:pPr>
        <w:pStyle w:val="Normal"/>
        <w:spacing w:lineRule="auto" w:line="480"/>
        <w:rPr/>
      </w:pPr>
      <w:r>
        <w:rPr/>
        <w:tab/>
        <w:t>Each jurisdictional pipeline company which owns storage facilities has a certificated level of working gas.  Certificate orders of some companies include maximum and minimum pressures as well as specified levels of base gas and storage total capacity.  These companies are required to report annually in their Form 2, Annual Report the following:</w:t>
      </w:r>
    </w:p>
    <w:p>
      <w:pPr>
        <w:pStyle w:val="Level1"/>
        <w:widowControl/>
        <w:numPr>
          <w:ilvl w:val="0"/>
          <w:numId w:val="1"/>
        </w:numPr>
        <w:spacing w:lineRule="auto" w:line="480"/>
        <w:ind w:hanging="1440" w:start="1440" w:end="0"/>
        <w:rPr/>
      </w:pPr>
      <w:r>
        <w:rPr/>
        <w:tab/>
        <w:tab/>
        <w:t>Monthly total net injections and withdrawals</w:t>
      </w:r>
    </w:p>
    <w:p>
      <w:pPr>
        <w:pStyle w:val="Level1"/>
        <w:widowControl/>
        <w:numPr>
          <w:ilvl w:val="0"/>
          <w:numId w:val="1"/>
        </w:numPr>
        <w:spacing w:lineRule="auto" w:line="480"/>
        <w:ind w:hanging="1440" w:start="1440" w:end="0"/>
        <w:rPr/>
      </w:pPr>
      <w:r>
        <w:rPr/>
        <w:tab/>
        <w:tab/>
        <w:t>Certificated storage capacity</w:t>
      </w:r>
    </w:p>
    <w:p>
      <w:pPr>
        <w:pStyle w:val="Level1"/>
        <w:widowControl/>
        <w:numPr>
          <w:ilvl w:val="0"/>
          <w:numId w:val="1"/>
        </w:numPr>
        <w:spacing w:lineRule="auto" w:line="480"/>
        <w:ind w:hanging="1440" w:start="1440" w:end="0"/>
        <w:rPr/>
      </w:pPr>
      <w:r>
        <w:rPr/>
        <w:tab/>
        <w:tab/>
        <w:t>Working gas level at December 31</w:t>
      </w:r>
    </w:p>
    <w:p>
      <w:pPr>
        <w:pStyle w:val="Level1"/>
        <w:widowControl/>
        <w:numPr>
          <w:ilvl w:val="0"/>
          <w:numId w:val="1"/>
        </w:numPr>
        <w:spacing w:lineRule="auto" w:line="480"/>
        <w:ind w:hanging="1440" w:start="1440" w:end="0"/>
        <w:rPr/>
      </w:pPr>
      <w:r>
        <w:rPr/>
        <w:tab/>
        <w:tab/>
        <w:t>Cushion gas</w:t>
      </w:r>
    </w:p>
    <w:p>
      <w:pPr>
        <w:pStyle w:val="Level1"/>
        <w:widowControl/>
        <w:numPr>
          <w:ilvl w:val="0"/>
          <w:numId w:val="1"/>
        </w:numPr>
        <w:spacing w:lineRule="auto" w:line="480"/>
        <w:ind w:hanging="1440" w:start="1440" w:end="0"/>
        <w:rPr/>
      </w:pPr>
      <w:r>
        <w:rPr/>
        <w:tab/>
        <w:tab/>
        <w:t>Number of I/W and observation wells</w:t>
      </w:r>
    </w:p>
    <w:p>
      <w:pPr>
        <w:pStyle w:val="Level1"/>
        <w:widowControl/>
        <w:numPr>
          <w:ilvl w:val="0"/>
          <w:numId w:val="1"/>
        </w:numPr>
        <w:spacing w:lineRule="auto" w:line="480"/>
        <w:ind w:hanging="1440" w:start="1440" w:end="0"/>
        <w:rPr/>
      </w:pPr>
      <w:r>
        <w:rPr/>
        <w:tab/>
        <w:tab/>
        <w:t>Maximum days’ withdrawal.</w:t>
      </w:r>
    </w:p>
    <w:p>
      <w:pPr>
        <w:pStyle w:val="Normal"/>
        <w:spacing w:lineRule="auto" w:line="480"/>
        <w:rPr/>
      </w:pPr>
      <w:r>
        <w:rPr/>
        <w:tab/>
        <w:t>The above information forms the basis of the Commission’s knowledge of storage fields serving the interstate market.  Therefore, the Commission will require a showing that the PSA, when used, will be adequate to allow the pipeline to meet the requirements of its contract storage services, no-notice service, transportation balancing and other parking and lending services. With this in mind,  the information which should be filed with the Commission to support the demonstration of the adequacy of the PSA to meet those requirements  should include:</w:t>
      </w:r>
    </w:p>
    <w:p>
      <w:pPr>
        <w:pStyle w:val="Level1"/>
        <w:widowControl/>
        <w:numPr>
          <w:ilvl w:val="0"/>
          <w:numId w:val="2"/>
        </w:numPr>
        <w:spacing w:lineRule="auto" w:line="480"/>
        <w:ind w:hanging="1440" w:start="1440" w:end="0"/>
        <w:rPr/>
      </w:pPr>
      <w:r>
        <w:rPr/>
        <w:tab/>
        <w:tab/>
        <w:t>Simple explanation that certain volumes of base gas is producible and cycleable.</w:t>
      </w:r>
    </w:p>
    <w:p>
      <w:pPr>
        <w:pStyle w:val="Level1"/>
        <w:widowControl/>
        <w:numPr>
          <w:ilvl w:val="0"/>
          <w:numId w:val="2"/>
        </w:numPr>
        <w:spacing w:lineRule="auto" w:line="480"/>
        <w:ind w:hanging="1440" w:start="1440" w:end="0"/>
        <w:rPr/>
      </w:pPr>
      <w:r>
        <w:rPr/>
        <w:tab/>
        <w:tab/>
        <w:t>Type of equipment to be utilized under the PSA.</w:t>
      </w:r>
    </w:p>
    <w:p>
      <w:pPr>
        <w:pStyle w:val="Level1"/>
        <w:widowControl/>
        <w:numPr>
          <w:ilvl w:val="0"/>
          <w:numId w:val="2"/>
        </w:numPr>
        <w:spacing w:lineRule="auto" w:line="480"/>
        <w:ind w:hanging="1440" w:start="1440" w:end="0"/>
        <w:rPr/>
      </w:pPr>
      <w:r>
        <w:rPr/>
        <w:tab/>
        <w:tab/>
        <w:t>How such equipment will be adequate to enable the sale of an identified quantity of base gas and, at the same time, assure that existing services will continue to be provided when needed.</w:t>
      </w:r>
    </w:p>
    <w:p>
      <w:pPr>
        <w:pStyle w:val="Level1"/>
        <w:widowControl/>
        <w:numPr>
          <w:ilvl w:val="0"/>
          <w:numId w:val="2"/>
        </w:numPr>
        <w:spacing w:lineRule="auto" w:line="480"/>
        <w:ind w:hanging="1440" w:start="1440" w:end="0"/>
        <w:rPr/>
      </w:pPr>
      <w:r>
        <w:rPr/>
        <w:tab/>
        <w:tab/>
        <w:t>Pressure-Content Hysteresis curve showing the additional increment of working gas, if any, to be derived as the result of the PSA.</w:t>
      </w:r>
    </w:p>
    <w:p>
      <w:pPr>
        <w:pStyle w:val="Level1"/>
        <w:widowControl/>
        <w:numPr>
          <w:ilvl w:val="0"/>
          <w:numId w:val="2"/>
        </w:numPr>
        <w:spacing w:lineRule="auto" w:line="480"/>
        <w:ind w:hanging="1440" w:start="1440" w:end="0"/>
        <w:rPr/>
      </w:pPr>
      <w:r>
        <w:rPr/>
        <w:tab/>
        <w:tab/>
        <w:t>Deliverability curve, both before and after, showing the increase in productive capacity, if any, of the storage field.</w:t>
      </w:r>
    </w:p>
    <w:p>
      <w:pPr>
        <w:pStyle w:val="Normal"/>
        <w:spacing w:lineRule="auto" w:line="480"/>
        <w:rPr/>
      </w:pPr>
      <w:r>
        <w:rPr/>
        <w:tab/>
        <w:t xml:space="preserve">Additionally, if the pipeline can demonstrate the capability to enhance its storage services, such as by permitting increases in the amount of gas that a shipper will be allowed to maintain in storage between cycles in concert with the base gas transaction proposal, such enhancement can make the base gas proposal more attractive to customers and be a selling point to the Commission.  An example of such an enhancement would be a contract storage tariff change that would allow shippers to leave an increased amount, say 20 percent of their “Maximum Available Capacity”, in storage from May 1 to May 15 after which time they may inject gas to reach 100 percent and maintain the 100 percent even as far as the beginning of December.  This example of an incentive, of course would depend upon the operational ability of a company’s total storage. </w:t>
      </w:r>
    </w:p>
    <w:p>
      <w:pPr>
        <w:pStyle w:val="Normal"/>
        <w:spacing w:lineRule="auto" w:line="480"/>
        <w:rPr/>
      </w:pPr>
      <w:r>
        <w:rPr/>
      </w:r>
    </w:p>
    <w:p>
      <w:pPr>
        <w:pStyle w:val="Normal"/>
        <w:spacing w:lineRule="auto" w:line="480"/>
        <w:rPr/>
      </w:pPr>
      <w:r>
        <w:rPr>
          <w:b/>
          <w:u w:val="single"/>
        </w:rPr>
        <w:t>Accounting for Gas Storage Inventory - Pre Order No. 636</w:t>
      </w:r>
      <w:r>
        <w:fldChar w:fldCharType="begin"/>
      </w:r>
      <w:r>
        <w:rPr/>
        <w:instrText xml:space="preserve"> TC "Accounting for Gas Storage Inventory - Pre Order No. 636" \l 1 </w:instrText>
      </w:r>
      <w:r>
        <w:rPr/>
        <w:fldChar w:fldCharType="separate"/>
      </w:r>
      <w:r>
        <w:rPr/>
      </w:r>
      <w:r>
        <w:rPr/>
        <w:fldChar w:fldCharType="end"/>
      </w:r>
    </w:p>
    <w:p>
      <w:pPr>
        <w:pStyle w:val="Normal"/>
        <w:spacing w:lineRule="auto" w:line="480"/>
        <w:rPr/>
      </w:pPr>
      <w:r>
        <w:rPr/>
        <w:tab/>
        <w:t xml:space="preserve">Prior to Order No. 636, FERC regulated pipelines performed merchant services in addition to storage and transportation services.  Pipelines sold gas acquired from producers and, were applicable, from its own or affiliate production and injected any excess gas so acquired into storage for later sale to customers.  For purposes of determining the cost for gas sold out of inventory, the Commission’s regulations required pipelines to maintain an inventory method of accounting for their gas storage operations, with the current working gas classified on their financial statements as current inventory.   There were three accepted accounting methods that the Commission embraced for gas held in inventory and classified as current gas, i.e., Last-in-First-Out (LIFO), First-in-First-Out (FIFO), and Weighted Average Cost.  As gas was sold to customers from current inventory, pipelines were required to reflect the cost of such gas, using one of the three accepted accounting methods on a consistent basis, in the computation of their purchased gas costs in their quarterly Purchase Gas Adjustment (PGA) filings with FERC.  </w:t>
      </w:r>
    </w:p>
    <w:p>
      <w:pPr>
        <w:pStyle w:val="Normal"/>
        <w:spacing w:lineRule="auto" w:line="480"/>
        <w:rPr/>
      </w:pPr>
      <w:r>
        <w:rPr/>
        <w:tab/>
        <w:t xml:space="preserve">Gas which was not current inventory gas included non-recoverable base gas and recoverable base gas needed to maintain operating pressure for the production of current gas.  The cost of all base gas was required to be recorded in Account No. 117, Gas Stored Underground - Noncurrent.  The cost of base gas was traditionally priced consistent with the Commission’s original cost method.  In those rare occasions when a pipeline sold base gas to customers, the gas was priced at original cost.  When replaced, such gas was priced at its market cost which, accordingly resulted in either an increase or a decrease to Account No. 117 depending on the cost of the replacement gas.   Because all gas sold to customers flowed through the PGAs, pipelines were unable to realize a profit on any such sale of base gas irrespective of the cost of gas sold and the then current market price of gas. Pipeline profits applicable to base gas were only realized from the return on the cost of such gas which was included in a pipelines rate base. </w:t>
      </w:r>
    </w:p>
    <w:p>
      <w:pPr>
        <w:pStyle w:val="Normal"/>
        <w:spacing w:lineRule="auto" w:line="480"/>
        <w:rPr/>
      </w:pPr>
      <w:r>
        <w:rPr/>
        <w:tab/>
        <w:t>Although the Commission maintained its original cost concept for pricing injection</w:t>
      </w:r>
    </w:p>
    <w:p>
      <w:pPr>
        <w:pStyle w:val="Normal"/>
        <w:spacing w:lineRule="auto" w:line="480"/>
        <w:rPr/>
      </w:pPr>
      <w:r>
        <w:rPr/>
        <w:t xml:space="preserve"> </w:t>
      </w:r>
      <w:r>
        <w:rPr/>
        <w:t xml:space="preserve">and withdrawal of gas from inventory in the operation of its storage business, the Commission did not require a pipeline to credit or share in any profit from the sale of an entire storage field, including the base gas in such field. A case in point is </w:t>
      </w:r>
      <w:r>
        <w:rPr>
          <w:u w:val="single"/>
        </w:rPr>
        <w:t>Mid-Louisiana Company</w:t>
      </w:r>
      <w:r>
        <w:rPr/>
        <w:t xml:space="preserve"> (Mid-La) and </w:t>
      </w:r>
      <w:r>
        <w:rPr>
          <w:u w:val="single"/>
        </w:rPr>
        <w:t xml:space="preserve">Transcontinental Gas Pipe Line Corporation </w:t>
      </w:r>
      <w:r>
        <w:rPr/>
        <w:t>(Transco), Docket No. CP77-267, 7 FERC, ¶ 61,316.  Those cases involved Mid-La’s sale of its Hester storage field to Transco.  The sale price included a premium of $926,652 above the depreciated original cost of the storage facility recorded on Mid-La’s books. This premium was recorded by Transco on its books in Account No. 114, Gas Plant Acquisition Adjustment.  Although the Commission rejected Transco’s attempt to adjust its rates by amortizing the premium and placing the unamortized premium in its rate base, the Commission did not require Mid-La to pass on or even share the premium with Mid-La’s customers.  The Commission, however, did develop a</w:t>
      </w:r>
      <w:r>
        <w:rPr>
          <w:strike/>
        </w:rPr>
        <w:t>n</w:t>
      </w:r>
      <w:r>
        <w:rPr/>
        <w:t xml:space="preserve"> unique and equitable resolution that met the Commission’s commensurate test, which permitted Transco to include about two-thirds of the premium in the computation of Transco’s rates.  </w:t>
      </w:r>
    </w:p>
    <w:p>
      <w:pPr>
        <w:pStyle w:val="Normal"/>
        <w:spacing w:lineRule="auto" w:line="480"/>
        <w:rPr/>
      </w:pPr>
      <w:r>
        <w:rPr/>
        <w:tab/>
        <w:t xml:space="preserve">Storage gas available for sale to customers was recorded in Account No. 164.1, Gas Stored - Current.  The regulations established the level of gas to be classified as current at an amount equal to the cost of estimated withdrawals of gas from storage within the 24-month period from the date of the balance sheet.  The 24-month period was further limited in that the storage balance recorded as current could not be withdrawn from storage if such withdrawal would impair pressure levels needed to maintain normal operating pressure.  </w:t>
      </w:r>
    </w:p>
    <w:p>
      <w:pPr>
        <w:pStyle w:val="Normal"/>
        <w:spacing w:lineRule="auto" w:line="480"/>
        <w:rPr/>
      </w:pPr>
      <w:r>
        <w:rPr/>
        <w:t xml:space="preserve"> </w:t>
      </w:r>
    </w:p>
    <w:p>
      <w:pPr>
        <w:pStyle w:val="Normal"/>
        <w:spacing w:lineRule="auto" w:line="480"/>
        <w:rPr/>
      </w:pPr>
      <w:r>
        <w:rPr>
          <w:b/>
          <w:u w:val="single"/>
        </w:rPr>
        <w:t>Accounting for Gas Storage Inventory - Post Order No. 636</w:t>
      </w:r>
      <w:r>
        <w:fldChar w:fldCharType="begin"/>
      </w:r>
      <w:r>
        <w:rPr/>
        <w:instrText xml:space="preserve"> TC "Accounting for Gas Storage Inventory - Post Order No. 636" \l 1 </w:instrText>
      </w:r>
      <w:r>
        <w:rPr/>
        <w:fldChar w:fldCharType="separate"/>
      </w:r>
      <w:r>
        <w:rPr/>
      </w:r>
      <w:r>
        <w:rPr/>
        <w:fldChar w:fldCharType="end"/>
      </w:r>
    </w:p>
    <w:p>
      <w:pPr>
        <w:pStyle w:val="Normal"/>
        <w:spacing w:lineRule="auto" w:line="480"/>
        <w:ind w:hanging="720" w:start="720" w:end="0"/>
        <w:rPr/>
      </w:pPr>
      <w:r>
        <w:rPr>
          <w:b/>
        </w:rPr>
        <w:t>Issue:</w:t>
      </w:r>
      <w:r>
        <w:rPr/>
        <w:tab/>
        <w:t>Will the Proposal be counter to FERC accounting requirements with respect to the Uniform System of Accounts as revised per Commission Order No. 581?</w:t>
      </w:r>
    </w:p>
    <w:p>
      <w:pPr>
        <w:pStyle w:val="Normal"/>
        <w:keepLines/>
        <w:spacing w:lineRule="auto" w:line="480"/>
        <w:rPr>
          <w:b/>
        </w:rPr>
      </w:pPr>
      <w:r>
        <w:rPr>
          <w:b/>
        </w:rPr>
        <w:t>Background</w:t>
      </w:r>
    </w:p>
    <w:p>
      <w:pPr>
        <w:pStyle w:val="Normal"/>
        <w:keepLines/>
        <w:spacing w:lineRule="auto" w:line="480"/>
        <w:rPr/>
      </w:pPr>
      <w:r>
        <w:rPr/>
        <w:tab/>
        <w:t xml:space="preserve">With the issuance of Commission Order No. 636, gas pipelines regulated by FERC no longer performed a merchant function.  Because those pipelines no longer sold gas from their storage fields, the Commission revised and redefined its regulations to reflect the fact change in operations.  On September 28, 1995, the Commission issued a Final Rule on Revisions to the Uniform System of Accounts, with the issuance of Order No. 581, 72 FERC ¶ 61,301.  Order No. 581 separated Account No. 117 into four sub-parts: Account No. 117.1, Gas Stored - Base Gas, 117.2, System Balancing Gas, Account No. 117.3, Gas Stored in Reservoirs and Pipelines - Noncurrent and Account No. 117.4, Gas Owed to System Gas.  Account No. 117.1 would include recoverable base gas necessary to maintain pressure and Account No. 117.2 would include storage gas necessary to balance transmission load and provide no-notice service.   Account No. 117.3 would include storage gas that is not needed for system operations or available for sale or other purposes and Account No. 117.4 would be used to record encroachments of system gas recorded in Account No. 117.3. Order No. 581 permitted pipelines to account for storage gas either under a fixed asset or inventory method. </w:t>
      </w:r>
    </w:p>
    <w:p>
      <w:pPr>
        <w:pStyle w:val="Normal"/>
        <w:spacing w:lineRule="auto" w:line="480"/>
        <w:rPr>
          <w:b/>
        </w:rPr>
      </w:pPr>
      <w:r>
        <w:rPr>
          <w:b/>
        </w:rPr>
      </w:r>
    </w:p>
    <w:p>
      <w:pPr>
        <w:pStyle w:val="Normal"/>
        <w:spacing w:lineRule="auto" w:line="480"/>
        <w:rPr>
          <w:b/>
        </w:rPr>
      </w:pPr>
      <w:r>
        <w:rPr>
          <w:b/>
        </w:rPr>
        <w:t>Fixed Asset Accounting</w:t>
      </w:r>
    </w:p>
    <w:p>
      <w:pPr>
        <w:pStyle w:val="Normal"/>
        <w:spacing w:lineRule="auto" w:line="480"/>
        <w:rPr/>
      </w:pPr>
      <w:r>
        <w:rPr/>
        <w:tab/>
        <w:t xml:space="preserve">To the best of BWMQ’s knowledge, most gas pipelines use the fixed asset method of accounting for gas storage inventory.  Under a fixed asset method, system gas is accounted for as a noncurrent asset or permanent investment.  FERC Stat. &amp; Reg. </w:t>
      </w:r>
      <w:r>
        <w:rPr>
          <w:rFonts w:cs="WP TypographicSymbols" w:ascii="WP TypographicSymbols" w:hAnsi="WP TypographicSymbols"/>
        </w:rPr>
        <w:t>&amp;</w:t>
      </w:r>
      <w:r>
        <w:rPr/>
        <w:t xml:space="preserve"> 31,026 at p. 31,453.</w:t>
      </w:r>
      <w:r>
        <w:rPr>
          <w:b/>
        </w:rPr>
        <w:t xml:space="preserve"> </w:t>
      </w:r>
      <w:r>
        <w:rPr/>
        <w:t>The Commission anticipated</w:t>
      </w:r>
      <w:r>
        <w:rPr>
          <w:b/>
        </w:rPr>
        <w:t xml:space="preserve"> </w:t>
      </w:r>
      <w:r>
        <w:rPr/>
        <w:t xml:space="preserve">that from time to time customers would encroach on system gas or system gas would be used in pipeline operations.  Under any encroachment by a customer, the customer would owe the system for the gas used, which could be paid back in-kind or through a cash settlement.  Account No. 117.4, which is used to record encroachments of system gas under a fixed asset method, is charged each month for the injection and withdrawals from storage valued at the replacement cost of gas, or market value, for the month. </w:t>
      </w:r>
      <w:r>
        <w:rPr>
          <w:rStyle w:val="FootnoteReference"/>
          <w:vertAlign w:val="superscript"/>
        </w:rPr>
        <w:footnoteReference w:id="3"/>
      </w:r>
      <w:r>
        <w:rPr/>
        <w:t xml:space="preserve">  The account is also charged each month for revaluations of the balance in the account as the cost of spot market gas changes.  To recognize that the pipeline is entitled to collect the replacement cost of gas from its customers, the utility would record a debit entry to Account No. 186 and would track the changes each month to Account No. 117.4.  As gas  market prices change, the value of Account No. 117.4 changes, as does receivables from customers related to the storage gas.  </w:t>
      </w:r>
    </w:p>
    <w:p>
      <w:pPr>
        <w:pStyle w:val="Normal"/>
        <w:spacing w:lineRule="auto" w:line="480"/>
        <w:rPr/>
      </w:pPr>
      <w:r>
        <w:rPr/>
        <w:tab/>
        <w:t xml:space="preserve">The Commission anticipated that an encroachment will be temporary; however, Order 581 does not expressly state a time period for repayment of the encroachment.  This point became an issue in Dominion Transmission, Inc.’s (DTI) filing of its September 29, 2000 TCRA  (fuel tracker), Docket No. RP00-632-000. In that filing, DTI sought to increase rates to amortize an under-collection in its system fuel (the encroachment on DTI’s system included both system balancing and base gas).  The Commission’s Order Accepting and Suspending Tariff Sheets Subject to Refund of October 31, 2000  states that Order No. 581 contemplated that withdrawals of system gas would only temporarily encroach on system supplies and would be replaced to permit a pipeline to maintain its authorized system gas levels.  However, the Commission’s order cited no specific reference in Order No. 581 that placed such limits on the quantity of system gas that can be encroached or that mandated that any replacement of gas related to the encroachment must be made within a specific time period.   The Commission has not provided further rulings on this matter to date.   DTI has filed a proposed settlement which is pending Commission action.  </w:t>
      </w:r>
    </w:p>
    <w:p>
      <w:pPr>
        <w:pStyle w:val="Normal"/>
        <w:spacing w:lineRule="auto" w:line="480"/>
        <w:rPr>
          <w:b/>
        </w:rPr>
      </w:pPr>
      <w:r>
        <w:rPr>
          <w:b/>
        </w:rPr>
      </w:r>
    </w:p>
    <w:p>
      <w:pPr>
        <w:pStyle w:val="Normal"/>
        <w:spacing w:lineRule="auto" w:line="480"/>
        <w:rPr>
          <w:b/>
        </w:rPr>
      </w:pPr>
      <w:r>
        <w:rPr>
          <w:b/>
        </w:rPr>
        <w:t>Inventory Method of Accounting for Gas Storage Inventory</w:t>
      </w:r>
    </w:p>
    <w:p>
      <w:pPr>
        <w:pStyle w:val="Normal"/>
        <w:spacing w:lineRule="auto" w:line="480"/>
        <w:rPr/>
      </w:pPr>
      <w:r>
        <w:rPr>
          <w:b/>
        </w:rPr>
        <w:tab/>
      </w:r>
      <w:r>
        <w:rPr/>
        <w:t xml:space="preserve">Commission Order 581 also permitted pipelines the option of accounting for gas in storage using an inventory method.  If an inventory method is elected, the pipeline must maintain the supporting records and the method must be applied consistently from year to year.   Further, if an inventory method is elected, the pipeline must use the inventory method for both Account Nos. 117.1 and 117.2.  The Order provides an exception for all of the permitted inventory accounting methods if the encroachments upon Account No. 117.1 volumes are to be replaced within 12 months.  This exception permits a pipeline, at its option, to account for encroachment withdrawals in accordance with the requirements for encroachments of system gas under the fixed asset method.  FERC Stat. &amp; Reg. </w:t>
      </w:r>
      <w:r>
        <w:rPr>
          <w:rFonts w:cs="WP TypographicSymbols" w:ascii="WP TypographicSymbols" w:hAnsi="WP TypographicSymbols"/>
        </w:rPr>
        <w:t>&amp;</w:t>
      </w:r>
      <w:r>
        <w:rPr/>
        <w:t xml:space="preserve"> 31,026 at p. 31,455.</w:t>
      </w:r>
    </w:p>
    <w:p>
      <w:pPr>
        <w:pStyle w:val="Normal"/>
        <w:spacing w:lineRule="auto" w:line="480"/>
        <w:rPr/>
      </w:pPr>
      <w:r>
        <w:rPr/>
        <w:tab/>
        <w:t xml:space="preserve">Order 581 also addresses how gains and losses are to be accounted for with respect to imbalances.  Such gains and losses are to be reflected as either a regulatory asset or liability.  Such accounting denotes that any such gains or losses would be reflected in rates.  The Order does not address gains or losses in any other operation of storage.  </w:t>
      </w:r>
    </w:p>
    <w:p>
      <w:pPr>
        <w:pStyle w:val="Normal"/>
        <w:keepLines/>
        <w:spacing w:lineRule="auto" w:line="480"/>
        <w:rPr/>
      </w:pPr>
      <w:r>
        <w:rPr>
          <w:b/>
          <w:u w:val="single"/>
        </w:rPr>
        <w:t>Conclusion on Accounting Issues</w:t>
      </w:r>
      <w:r>
        <w:fldChar w:fldCharType="begin"/>
      </w:r>
      <w:r>
        <w:rPr/>
        <w:instrText xml:space="preserve"> TC "Conclusion on Accounting Issues" \l 1 </w:instrText>
      </w:r>
      <w:r>
        <w:rPr/>
        <w:fldChar w:fldCharType="separate"/>
      </w:r>
      <w:r>
        <w:rPr/>
      </w:r>
      <w:r>
        <w:rPr/>
        <w:fldChar w:fldCharType="end"/>
      </w:r>
    </w:p>
    <w:p>
      <w:pPr>
        <w:pStyle w:val="Normal"/>
        <w:keepLines/>
        <w:spacing w:lineRule="auto" w:line="480"/>
        <w:rPr/>
      </w:pPr>
      <w:r>
        <w:rPr/>
        <w:tab/>
        <w:t xml:space="preserve">With respect to fixed asset accounting requirements, ENA’s proposal to sell base gas, recorded in Account No. 117.1, may be inconsistent with the Commission’s Order No. 581, since the gas will not be replaced within a reasonable period of time (even though the Commission has never interpreted what is meant by a reasonable period; informally, Jim Guest of the FERC Staff suggested that within a 12-month period is reasonable).  A similar interpretation was rendered by the Commission in DTI’s TCRA rate filing.  Because accounting follows rate treatment, if the Commission finds the rate treatment is acceptable, then the accounting treatment will accordingly follow the approved rate treatment.  See </w:t>
      </w:r>
      <w:r>
        <w:rPr>
          <w:u w:val="single"/>
        </w:rPr>
        <w:t>Panhandle Eastern Pipe Line,</w:t>
      </w:r>
      <w:r>
        <w:rPr/>
        <w:t xml:space="preserve"> 74 FERC ¶ 61,109 at 61,351.  </w:t>
      </w:r>
      <w:r>
        <w:rPr>
          <w:b/>
        </w:rPr>
        <w:t xml:space="preserve"> </w:t>
      </w:r>
      <w:r>
        <w:rPr/>
        <w:t xml:space="preserve"> </w:t>
      </w:r>
    </w:p>
    <w:p>
      <w:pPr>
        <w:pStyle w:val="Normal"/>
        <w:spacing w:lineRule="auto" w:line="480"/>
        <w:rPr/>
      </w:pPr>
      <w:r>
        <w:rPr/>
        <w:tab/>
        <w:t xml:space="preserve">If the pipeline elected an inventory method, ENA’s proposal of selling base gas and not replacing the gas for at least a five-year period, would not be inconsistent with Commission’s accounting regulations.  Furthermore, the Commission’s Order No. 581and regulations do not specifically direct that the potential gains realized from the sale of base gas are to be recorded as a regulatory liability (such designation would require the gains to be refunded to ratepayers).  Thus, the accounting rules would require the recording of gains to be reflected in net income.  </w:t>
      </w:r>
    </w:p>
    <w:p>
      <w:pPr>
        <w:pStyle w:val="Normal"/>
        <w:spacing w:lineRule="auto" w:line="480"/>
        <w:rPr/>
      </w:pPr>
      <w:r>
        <w:rPr/>
        <w:tab/>
        <w:t xml:space="preserve">Based on the above analysis, BWMQ believes that the issue of ratepayers’ participation in potential profits from the sale of base gas would be determined based on rate implications and not based on an accounting finding.   </w:t>
      </w:r>
    </w:p>
    <w:p>
      <w:pPr>
        <w:pStyle w:val="Normal"/>
        <w:spacing w:lineRule="auto" w:line="480"/>
        <w:rPr>
          <w:b/>
        </w:rPr>
      </w:pPr>
      <w:r>
        <w:rPr>
          <w:b/>
        </w:rPr>
      </w:r>
    </w:p>
    <w:p>
      <w:pPr>
        <w:pStyle w:val="Normal"/>
        <w:spacing w:lineRule="auto" w:line="480"/>
        <w:rPr/>
      </w:pPr>
      <w:r>
        <w:rPr>
          <w:b/>
          <w:u w:val="single"/>
        </w:rPr>
        <w:t>Rate Treatment of Sale of Base Gas</w:t>
      </w:r>
      <w:r>
        <w:fldChar w:fldCharType="begin"/>
      </w:r>
      <w:r>
        <w:rPr/>
        <w:instrText xml:space="preserve"> TC "Rate Treatment of Sale of Base Gas" \l 1 </w:instrText>
      </w:r>
      <w:r>
        <w:rPr/>
        <w:fldChar w:fldCharType="separate"/>
      </w:r>
      <w:r>
        <w:rPr/>
      </w:r>
      <w:r>
        <w:rPr/>
        <w:fldChar w:fldCharType="end"/>
      </w:r>
    </w:p>
    <w:p>
      <w:pPr>
        <w:pStyle w:val="Normal"/>
        <w:spacing w:lineRule="auto" w:line="480"/>
        <w:rPr/>
      </w:pPr>
      <w:r>
        <w:rPr/>
        <w:tab/>
        <w:t>ENA’s proposal of having a pipeline selling base gas from Account No. 117.1, in-place, to a Gas Purchaser and to provide for a Pressurization Service Agreement to enable the storage facility to perform its necessary service obligations, on the surface, should not be objectionable to the Commission in the context of either a Section 4 or 7 filing.  As discussed previously, the Commission would have to be assured that the quality of storage service rendered by the pipeline would be equal to that provided with the base gas in place.  Further, the pipeline would be responsible for the majority of the cost incurred with respect to the Pressurization Service Agreement.  BWMQ believes that the customers should be responsible for the cost up to the level of cost responsibility they would have incurred had the base gas remained in rate base.  With these assurances, the transaction can be viewed simply as a loan made using the base gas as security and the payment made on the Pressurization Service Agreement as interest.  All parties should be indifferent to the Proposal; however, the critical issue will be whether the base gas sold under the Proposal can be repriced at the end of the transaction period.  The critical issue must therefore be ENA’s proposal to reprice the gas re-injected at the termination of the monetization period.</w:t>
      </w:r>
    </w:p>
    <w:p>
      <w:pPr>
        <w:pStyle w:val="Normal"/>
        <w:spacing w:lineRule="auto" w:line="480"/>
        <w:rPr/>
      </w:pPr>
      <w:r>
        <w:rPr/>
      </w:r>
    </w:p>
    <w:p>
      <w:pPr>
        <w:pStyle w:val="Normal"/>
        <w:spacing w:lineRule="auto" w:line="480"/>
        <w:ind w:hanging="720" w:start="720" w:end="0"/>
        <w:rPr/>
      </w:pPr>
      <w:r>
        <w:rPr>
          <w:b/>
        </w:rPr>
        <w:t>Issue</w:t>
      </w:r>
      <w:r>
        <w:rPr/>
        <w:t>:</w:t>
        <w:tab/>
        <w:t>As a rate matter, will the Commission permit the pipeline to reprice gas re-injected at the termination of the monetization period?</w:t>
      </w:r>
    </w:p>
    <w:p>
      <w:pPr>
        <w:pStyle w:val="Normal"/>
        <w:spacing w:lineRule="auto" w:line="480"/>
        <w:rPr/>
      </w:pPr>
      <w:r>
        <w:rPr/>
        <w:tab/>
        <w:t xml:space="preserve">To the best of BWMQ’s knowledge, the Commission has never addressed the specific issue raised by the Proposal of repricing base gas re-injected when a similar quantity of base gas was previously sold at a profit which was retained by the pipeline.  The Commission, however, has on numerous occasions addressed the profit realized from the sale of jurisdictional assets.  The precedent that the Commission generally follows was established in </w:t>
      </w:r>
      <w:r>
        <w:rPr>
          <w:u w:val="single"/>
        </w:rPr>
        <w:t>Democratic Central Commission (Democratic Central) v. Washington Metropolitan Area Commission</w:t>
      </w:r>
      <w:r>
        <w:rPr/>
        <w:t xml:space="preserve">, 485 f.2d 785 (D.C. Cir. 1973).  There the Court held that the gain on a transfer of depreciable properties was to be allocated between investors and ratepayers depending on which class bore the risk of loss for such property.  Based on </w:t>
      </w:r>
      <w:r>
        <w:rPr>
          <w:u w:val="single"/>
        </w:rPr>
        <w:t>Democratic Central</w:t>
      </w:r>
      <w:r>
        <w:rPr/>
        <w:t xml:space="preserve"> the Commission required a sharing of profits between ratepayers and pipeline upon the abandonment of a gas pipeline and converting the lines to crude oil service without impairment of service on its remaining gas transmission system.  See </w:t>
      </w:r>
      <w:r>
        <w:rPr>
          <w:u w:val="single"/>
        </w:rPr>
        <w:t>El Paso Natural Gas Company</w:t>
      </w:r>
      <w:r>
        <w:rPr/>
        <w:t xml:space="preserve">, 1 FERC ¶ 61,108 and </w:t>
      </w:r>
      <w:r>
        <w:rPr>
          <w:u w:val="single"/>
        </w:rPr>
        <w:t>Florida Gas Transmission Company</w:t>
      </w:r>
      <w:r>
        <w:rPr/>
        <w:t>, 20 FERC ¶ 61,298.</w:t>
      </w:r>
    </w:p>
    <w:p>
      <w:pPr>
        <w:pStyle w:val="Normal"/>
        <w:spacing w:lineRule="auto" w:line="480"/>
        <w:rPr/>
      </w:pPr>
      <w:r>
        <w:rPr/>
        <w:tab/>
        <w:t xml:space="preserve">In a more recent case, </w:t>
      </w:r>
      <w:r>
        <w:rPr>
          <w:u w:val="single"/>
        </w:rPr>
        <w:t>Trunkline Gas Company (Trunkline)</w:t>
      </w:r>
      <w:r>
        <w:rPr/>
        <w:t xml:space="preserve">, 90 FERC ¶ 61,017, the Commission found that the gain realized by Trunkline on the sale of an airplane used in the operation of its jurisdictional business are rightfully the shareholders.  During the years preceding the rate case, Trunkline’s shareholders bore the losses on other property that was sold.  Furthermore, the interveners could not demonstrate that ratepayers would bear the risk of capital loss if the plane was sold at a loss rather than a gain.  In its opinion, the Commission in dealing with this matter stated, “In keeping with the principle in </w:t>
      </w:r>
      <w:r>
        <w:rPr>
          <w:u w:val="single"/>
        </w:rPr>
        <w:t>Democratic Central</w:t>
      </w:r>
      <w:r>
        <w:rPr/>
        <w:t xml:space="preserve"> that the entity that bears the risk of capital loss should also be assigned a capital gain that results, and in absence of any additional equitable factors that would urge a different result, the Commission allocates the gain on the sale of the airplane to Trunkline’s shareholders.” p. 61,101. </w:t>
      </w:r>
    </w:p>
    <w:p>
      <w:pPr>
        <w:pStyle w:val="Normal"/>
        <w:spacing w:lineRule="auto" w:line="480"/>
        <w:rPr/>
      </w:pPr>
      <w:r>
        <w:rPr/>
        <w:tab/>
        <w:t xml:space="preserve">In Williston Basin Interstate Pipeline Company’s restructuring proceeding, the Commission considered the issue of the sale of excess working gas.  The Commission found that the customers had historically borne the burden of utility operations through the payment of carrying costs.  The Commission found that the customers should share in the resulting profits from the sale of the excess working gas.  In support of its findings the Commission cited </w:t>
      </w:r>
      <w:r>
        <w:rPr>
          <w:u w:val="single"/>
        </w:rPr>
        <w:t>Democratic Central</w:t>
      </w:r>
      <w:r>
        <w:rPr/>
        <w:t xml:space="preserve">.  See 63 FERC ¶ 61,184 at 62,235 (1993), </w:t>
      </w:r>
      <w:r>
        <w:rPr>
          <w:u w:val="single"/>
        </w:rPr>
        <w:t>on reh’g</w:t>
      </w:r>
      <w:r>
        <w:rPr/>
        <w:t xml:space="preserve">, 64 FERC ¶ 61,297 at 63,130 (1993), </w:t>
      </w:r>
      <w:r>
        <w:rPr>
          <w:u w:val="single"/>
        </w:rPr>
        <w:t>on reh’g</w:t>
      </w:r>
      <w:r>
        <w:rPr/>
        <w:t xml:space="preserve">, 65 FERC ¶ 61,334 at 62,570 (1993). </w:t>
      </w:r>
    </w:p>
    <w:p>
      <w:pPr>
        <w:pStyle w:val="Normal"/>
        <w:spacing w:lineRule="auto" w:line="480"/>
        <w:rPr/>
      </w:pPr>
      <w:r>
        <w:rPr/>
        <w:tab/>
        <w:t>Several pipelines in recent years have filed certificates with the Commission requesting that certain storage gas be reclassified from base gas to working gas.  Generally, the  storage fields’ operations in those cases were enhanced through the installation of other facilities thus requiring the need for less base gas.   Through rate settlements the pipelines were permitted to sell the excess working gas created as a result of the facility installations and to share the profits with customers.  The specific pipelines are:</w:t>
      </w:r>
    </w:p>
    <w:p>
      <w:pPr>
        <w:pStyle w:val="Level1"/>
        <w:widowControl/>
        <w:numPr>
          <w:ilvl w:val="0"/>
          <w:numId w:val="1"/>
        </w:numPr>
        <w:spacing w:lineRule="auto" w:line="480"/>
        <w:ind w:hanging="720" w:start="720" w:end="0"/>
        <w:rPr/>
      </w:pPr>
      <w:r>
        <w:rPr/>
        <w:tab/>
        <w:tab/>
        <w:t xml:space="preserve">CNG Transmission Corp. (now Dominion Transmission, Inc.) filed two certificate applications with FERC, 80 FERC ¶ 61,092 (1997) and 85 FERC ¶ 61,432 (1998) that provided CNG the authorization to reclassify 12.8 Bcf, generally referred to as “liberated base gas.”  The Commission required that CNG classify the 12.8 Bcf of liberated base gas in Account No. 117.3, and when and if CNG sold the gas, in accordance with CNG’s rate case settlement approved by the Commission on November 24, 1988, CNG would split all net profits equally with its customers.  See </w:t>
      </w:r>
      <w:r>
        <w:rPr>
          <w:u w:val="single"/>
        </w:rPr>
        <w:t>CNG Transmission Corp</w:t>
      </w:r>
      <w:r>
        <w:rPr/>
        <w:t>., 89 FERC ¶ 61,261 (1998).</w:t>
      </w:r>
    </w:p>
    <w:p>
      <w:pPr>
        <w:pStyle w:val="Level1"/>
        <w:widowControl/>
        <w:numPr>
          <w:ilvl w:val="0"/>
          <w:numId w:val="1"/>
        </w:numPr>
        <w:spacing w:lineRule="auto" w:line="480"/>
        <w:ind w:hanging="720" w:start="720" w:end="0"/>
        <w:rPr/>
      </w:pPr>
      <w:r>
        <w:rPr/>
        <w:tab/>
        <w:tab/>
        <w:t>The Commission’s Order approving a Columbia Gas Transmission Corporation uncontested rate case settlement in Docket No. RP95-408-013, issued April 17, 1997, in Article IV approved a sharing in profits on the liquidation of storage base gas.  See 79 FERC, ¶ 61,044.  Under this provision “base gas” means (1) base gas in the Majorsville-Heard storage fields; (2) base gas identified to be sold in Columbia’s market expansion certificate application in Docket No. CP96-213; and (3) base gas that is no longer needed as a result of more efficient operation of Columbia’s storage fields.   Pursuant to the Settlement, Columbia filed a report with the Commission, 95 FERC, ¶ 61,379.  The report indicated that Columbia retained the first $21.4 million and ninety percent of the profits between $21.4 million and $41.5 million.  All profits above $41.5 million were split evenly with Columbia’s customers.  The report indicated that the excess profits were $17.3 million of which the customers were refunded $8.7 million.</w:t>
      </w:r>
    </w:p>
    <w:p>
      <w:pPr>
        <w:pStyle w:val="Level1"/>
        <w:widowControl/>
        <w:numPr>
          <w:ilvl w:val="0"/>
          <w:numId w:val="1"/>
        </w:numPr>
        <w:spacing w:lineRule="auto" w:line="480"/>
        <w:ind w:hanging="720" w:start="720" w:end="0"/>
        <w:rPr/>
      </w:pPr>
      <w:r>
        <w:rPr/>
        <w:tab/>
        <w:tab/>
        <w:t>Colorado Interstate Gas Company filed a Section 4 rate case with the Commission on March 30, 2001, Docket No. RP01-350.   Testimony of CIG’s witness Catherine E. Palazzari supported a proposed rate treatment for base gas in the Keyes Reservoir within CIG’s Boehm storage field.  In addition, CIG filed in  Docket No. CP01-01 a proposal to expand its storage facility and to “blow down” the base gas in the Keyes Reservoir thereby enabling such gas to be sold.  CIG requested in its certificate filing that the Commission defer treatment of the issue pending the outcome of the rate case.  Ms. Palazzari stated that the blowdown would occur over a five-year period and that CIG, consistent with Commission precedent, should be allowed to retain all profits on the sale of the base gas.  The rate filing reflects the elimination of all of the investment cost in rate base for the base gas that CIG projects will be sold over the five-year period.   The rate case has not been resolved at this time, hence, the treatment of the proceeds from the sale of the base gas, has not yet been resolved.</w:t>
      </w:r>
    </w:p>
    <w:p>
      <w:pPr>
        <w:pStyle w:val="Level1"/>
        <w:widowControl/>
        <w:numPr>
          <w:ilvl w:val="0"/>
          <w:numId w:val="1"/>
        </w:numPr>
        <w:spacing w:lineRule="auto" w:line="480"/>
        <w:ind w:hanging="720" w:start="720" w:end="0"/>
        <w:rPr/>
      </w:pPr>
      <w:r>
        <w:rPr/>
        <w:tab/>
        <w:tab/>
        <w:t xml:space="preserve">National Fuel Gas Supply Corporation (National Fuel) filed a certificate application in Docket No. CP01-46 in part to abandon by sale 200,000 Mcf of base gas.  The Commission found that National Fuel’s proposal to abandon 200,000 Mcf of base gas at the Holland Storage Field  was in the public interest because the gas was no longer needed due to the efficiency caused by the horizontal well drilled.  However, the order required National Fuel to track any revenues associated with the sale of the base gas since the issue of the disposition of those revenues will be addressed in an enforcement investigation.  See 95 FERC ¶ 61,353, issued June 4, 2001.   </w:t>
      </w:r>
    </w:p>
    <w:p>
      <w:pPr>
        <w:pStyle w:val="Level1"/>
        <w:widowControl/>
        <w:numPr>
          <w:ilvl w:val="0"/>
          <w:numId w:val="1"/>
        </w:numPr>
        <w:spacing w:lineRule="auto" w:line="480"/>
        <w:ind w:hanging="720" w:start="720" w:end="0"/>
        <w:rPr/>
      </w:pPr>
      <w:r>
        <w:rPr/>
        <w:tab/>
        <w:tab/>
        <w:t xml:space="preserve">Richfield Gas Storage System filed in Docket No. CP98-254 for a request to abandon by sale of a jurisdictional storage field together with base gas to its affiliate, Duke Energy Field Services, Inc.   The sale price was net depreciated original cost.  Richfield claimed that there was not enough interest for storage service to make it worthwhile to maintain its jurisdictional service.  The Commission approved the sale without discussion of the issue of base gas and any potential gain from its eventual sale by the affiliate.  The order clearly indicated that the affiliate planned to remove the base gas over a number of years once the sale was made.  See 83 FERC ¶ 61,153.  </w:t>
      </w:r>
    </w:p>
    <w:p>
      <w:pPr>
        <w:pStyle w:val="Level1"/>
        <w:widowControl/>
        <w:numPr>
          <w:ilvl w:val="0"/>
          <w:numId w:val="1"/>
        </w:numPr>
        <w:spacing w:lineRule="auto" w:line="480"/>
        <w:ind w:hanging="720" w:start="720" w:end="0"/>
        <w:rPr/>
      </w:pPr>
      <w:r>
        <w:rPr/>
        <w:tab/>
        <w:tab/>
        <w:t xml:space="preserve">In another abandonment application, the Commission permitted NorAm Gas Transmission to retain proceeds from the sale of storage base gas in its Collinson storage field, which the pipeline plans to abandon.  The Commission found that the proceeds should be used by NorAm to offset the cost of abandoning the storage field.  See 75 FERC ¶ 61,109. </w:t>
      </w:r>
    </w:p>
    <w:p>
      <w:pPr>
        <w:pStyle w:val="Level1"/>
        <w:widowControl/>
        <w:numPr>
          <w:ilvl w:val="0"/>
          <w:numId w:val="1"/>
        </w:numPr>
        <w:spacing w:lineRule="auto" w:line="480"/>
        <w:ind w:hanging="720" w:start="720" w:end="0"/>
        <w:rPr/>
      </w:pPr>
      <w:r>
        <w:rPr/>
        <w:tab/>
        <w:tab/>
        <w:t xml:space="preserve">In several Order No. 636 proceedings, the Commission allowed pipelines to retain the revenue received from the sale of excess gas storage inventory.  See </w:t>
      </w:r>
      <w:r>
        <w:rPr>
          <w:u w:val="single"/>
        </w:rPr>
        <w:t>Panhandle Eastern Pipe Line Company</w:t>
      </w:r>
      <w:r>
        <w:rPr/>
        <w:t xml:space="preserve">, 61 FERC, ¶ 61,357 at 62,433 and </w:t>
      </w:r>
      <w:r>
        <w:rPr>
          <w:u w:val="single"/>
        </w:rPr>
        <w:t>Koch Gateway Pipeline Company</w:t>
      </w:r>
      <w:r>
        <w:rPr/>
        <w:t xml:space="preserve">, 68 FERC, ¶ 61,314 at 62,297.    </w:t>
      </w:r>
    </w:p>
    <w:p>
      <w:pPr>
        <w:pStyle w:val="Level1"/>
        <w:widowControl/>
        <w:numPr>
          <w:ilvl w:val="0"/>
          <w:numId w:val="1"/>
        </w:numPr>
        <w:spacing w:lineRule="auto" w:line="480"/>
        <w:ind w:hanging="720" w:start="720" w:end="0"/>
        <w:rPr/>
      </w:pPr>
      <w:r>
        <w:rPr/>
        <w:tab/>
        <w:tab/>
        <w:t xml:space="preserve">The Commission permitted Equitrans, Inc. to sell 400 MMcf of base gas and replace same with 300 MMcf of nitrogen.  Since Equitrans’ proposal included an undertaking to bear the risk of the project, the Commission found that Equitrans should retain the profits from the sale of the base gas.  See </w:t>
      </w:r>
      <w:r>
        <w:rPr>
          <w:u w:val="single"/>
        </w:rPr>
        <w:t>Equitrans, Inc.</w:t>
      </w:r>
      <w:r>
        <w:rPr/>
        <w:t>, 75 FERC ¶ 61,203.</w:t>
      </w:r>
    </w:p>
    <w:p>
      <w:pPr>
        <w:pStyle w:val="Normal"/>
        <w:spacing w:lineRule="auto" w:line="480"/>
        <w:rPr/>
      </w:pPr>
      <w:r>
        <w:rPr/>
        <w:tab/>
        <w:t xml:space="preserve">In each of the above cases where the pipelines have upgraded their storage capabilities resulting in the creation of excess base gas, ratepayers have participated in the  proceeds from the sale of such gas.  Although CIG is not proposing any sharing, CIG’s filed case reflects the pre-removal of base gas in rate base prior to the eventual recovery of revenues for sale of the excess base gas which is expected to occur over a subsequent five year period.  On the other hand, in cases involving proposals to abandon an entire storage field, generally the Commission has permitted the retention of proceeds generated from the disposition of the storage field including all storage gas.  Coupled with the abandonment of such storage fields is the removal of the storage facility costs from rate base and the pipelines obligation to incur any removal cost.  In the Order No. 636 proceedings, although the Commission permitted the pipelines to retain the proceeds from the sale of excess storage gas, it is questionable whether the market value of the gas sold was, in fact, in excess of the cost basis.  The gas in question was classified on the pipeline’s books as current gas priced using an inventory accounting method.  Because the gas was constantly sold and replaced, the gas book cost of such gas most likely was at or near market value.  </w:t>
      </w:r>
    </w:p>
    <w:p>
      <w:pPr>
        <w:pStyle w:val="Normal"/>
        <w:spacing w:lineRule="auto" w:line="480"/>
        <w:rPr/>
      </w:pPr>
      <w:r>
        <w:rPr/>
        <w:tab/>
        <w:t xml:space="preserve">Customers of all the above mentioned pipelines paid return and taxes over the years on the pipelines’ investment in the base gas.  For the most part, customers were at risk for extraordinary gas losses that may have occurred by the subject pipelines.  Unless unusual circumstances, such as imprudence, are involved, the Commission generally has permitted a pipeline to recognize extraordinary losses of storage gas in their rates.  Thus, the axiom established in </w:t>
      </w:r>
      <w:r>
        <w:rPr>
          <w:u w:val="single"/>
        </w:rPr>
        <w:t>Democratic Central</w:t>
      </w:r>
      <w:r>
        <w:rPr/>
        <w:t xml:space="preserve"> would dictate that customers should share in the proceeds because they certainly shared risk.</w:t>
      </w:r>
    </w:p>
    <w:p>
      <w:pPr>
        <w:pStyle w:val="Normal"/>
        <w:spacing w:lineRule="auto" w:line="480"/>
        <w:rPr>
          <w:b/>
        </w:rPr>
      </w:pPr>
      <w:r>
        <w:rPr/>
        <w:tab/>
        <w:t xml:space="preserve">The common theme in all of the above-mentioned cases is that the rate base was permanently reduced as a result of the sale or abandonment of the gas and facility costs.  ENA’s proposal does not offer any reduction to rate base and, most likely, will result in an increase to rate base through the repricing of replacement gas.  Accordingly, BWMQ believes that in light of Commission precedent, as expressed above, the Proposal will have a greater probability of acceptance by both the Commission and customers, if the net revenues resulting from the sale of the base gas are shared. </w:t>
      </w:r>
    </w:p>
    <w:p>
      <w:pPr>
        <w:pStyle w:val="Normal"/>
        <w:spacing w:lineRule="auto" w:line="480"/>
        <w:rPr>
          <w:b/>
        </w:rPr>
      </w:pPr>
      <w:r>
        <w:rPr>
          <w:b/>
        </w:rPr>
      </w:r>
    </w:p>
    <w:p>
      <w:pPr>
        <w:pStyle w:val="Normal"/>
        <w:spacing w:lineRule="auto" w:line="480"/>
        <w:rPr/>
      </w:pPr>
      <w:r>
        <w:rPr>
          <w:b/>
          <w:u w:val="single"/>
        </w:rPr>
        <w:t>Possible Alternatives to Proposal to Provide for Sharing of Benefits</w:t>
      </w:r>
      <w:r>
        <w:rPr>
          <w:u w:val="single"/>
        </w:rPr>
        <w:t xml:space="preserve">  </w:t>
      </w:r>
      <w:r>
        <w:fldChar w:fldCharType="begin"/>
      </w:r>
      <w:r>
        <w:rPr/>
        <w:instrText xml:space="preserve"> TC "Possible Alternatives to Proposal to Provide for Sharing of Benefits  " \l 1 </w:instrText>
      </w:r>
      <w:r>
        <w:rPr/>
        <w:fldChar w:fldCharType="separate"/>
      </w:r>
      <w:r>
        <w:rPr/>
      </w:r>
      <w:r>
        <w:rPr/>
        <w:fldChar w:fldCharType="end"/>
      </w:r>
    </w:p>
    <w:p>
      <w:pPr>
        <w:pStyle w:val="Normal"/>
        <w:spacing w:lineRule="auto" w:line="480"/>
        <w:rPr/>
      </w:pPr>
      <w:r>
        <w:rPr/>
        <w:tab/>
        <w:t xml:space="preserve">BWMQ believes that before ENA’s proposal can be endorsed by the Commission with respect to the future write-up of base gas, ENA must provide the Commission assurances that ratepayers will receive commensurate benefits in rates that are quantifiable.  Thus, merely providing enhanced services by itself will not be enough to demonstrate a commensurate benefit.  BWMQ believes that the Commission will view the sale of base gas and the subsequent repurchase, at a significantly higher cost, in the same manner it views premiums paid for the purchase of facilities previously dedicated for jurisdictional service.  However, the use of original cost or net depreciated original cost has never been absolute, due to the recognition that application of an inflexible original cost policy would create disincentives.  The policy that evolved through Commission precedent includes a well recognized and long-standing exception which permits purchased facilities to be included in rate base at the full purchase price where it can be demonstrated that the acquisition produces substantial ratepayer or public benefits.  The Commission’s recognition of this exception as part of its general rule governing rate making treatment of acquired property dates from at least 1962.  See </w:t>
      </w:r>
      <w:r>
        <w:rPr>
          <w:u w:val="single"/>
        </w:rPr>
        <w:t>United Gas Pipe line Co</w:t>
      </w:r>
      <w:r>
        <w:rPr/>
        <w:t xml:space="preserve">., 25 FPC at 65.  In </w:t>
      </w:r>
      <w:r>
        <w:rPr>
          <w:u w:val="single"/>
        </w:rPr>
        <w:t>United</w:t>
      </w:r>
      <w:r>
        <w:rPr/>
        <w:t xml:space="preserve"> the Commission first established its “commensurate test.”   The Commission developed the “prudent investment” standard effectively stating that once a public utility places facilities in service for public utility service, those same facilities should not be sold to another utility for a higher price simply to increase the size of the purchaser’s rate base.   </w:t>
      </w:r>
    </w:p>
    <w:p>
      <w:pPr>
        <w:pStyle w:val="Normal"/>
        <w:spacing w:lineRule="auto" w:line="480"/>
        <w:rPr/>
      </w:pPr>
      <w:r>
        <w:rPr/>
        <w:tab/>
        <w:t xml:space="preserve">Embodied in this “prudent investment” standard is the concept that any increase in rate base (and therefore cost to the ratepayer) resulting from an acquisition may only be included in rates if the pipeline can show that such an increase provides benefits to the pipeline’s customers commensurate with the increased costs.   Ib. at p. 56. The Commission provided further enlightenment on the commensurate test in </w:t>
      </w:r>
      <w:r>
        <w:rPr>
          <w:u w:val="single"/>
        </w:rPr>
        <w:t>Locust Ridge Gas Company</w:t>
      </w:r>
      <w:r>
        <w:rPr/>
        <w:t xml:space="preserve">, 29 FERC, ¶ 61,052.  Here the Commission clarified </w:t>
      </w:r>
      <w:r>
        <w:rPr>
          <w:u w:val="single"/>
        </w:rPr>
        <w:t>United</w:t>
      </w:r>
      <w:r>
        <w:rPr/>
        <w:t xml:space="preserve"> by stating that if a regulated utility wanted rate base treatment of additional amounts, the utility would have to prove that benefits, equal to the excess acquisition costs and measurable in dollars, were conferred on its ratepayers.  </w:t>
      </w:r>
    </w:p>
    <w:p>
      <w:pPr>
        <w:pStyle w:val="Normal"/>
        <w:spacing w:lineRule="auto" w:line="480"/>
        <w:rPr/>
      </w:pPr>
      <w:r>
        <w:rPr/>
        <w:tab/>
        <w:t>ENA’s Proposal suggests that the proceeds from the sale of base gas will be used to finance needed facility expansion and infrastructure and that the capital required to construct such facilities will be raised through off-balance sheet financing.  In that connection, BWMQ recommends that the pipeline set up a Limited Liability Corporation (LLC) or a Limited Partnership (We will refer to this entity below as an LLC).  The net revenue generated from the sale of base gas then would be contributed to the LLC as an investment of equity thus enabling the LLC to raise debt in multiples of 3, 4 or even 5 times the contributed equity.  The LLC then will have the financial capability to finance substantial pipeline enhancements.  BWMQ also recommends that the LLC have ownership of the enhanced pipeline facilities, while the pipeline would have the certificate authority to render service via such facilities and be the entity of regulatory responsibility.  Under these circumstances, BWMQ believes, the LLC would not be subject to FERC regulation.</w:t>
      </w:r>
    </w:p>
    <w:p>
      <w:pPr>
        <w:sectPr>
          <w:footnotePr>
            <w:numFmt w:val="decimal"/>
          </w:footnotePr>
          <w:type w:val="continuous"/>
          <w:pgSz w:w="12240" w:h="15840"/>
          <w:pgMar w:left="1440" w:right="1440" w:gutter="0" w:header="1440" w:top="2078" w:footer="1440" w:bottom="1496"/>
          <w:formProt w:val="false"/>
          <w:textDirection w:val="lrTb"/>
          <w:docGrid w:type="default" w:linePitch="360" w:charSpace="0"/>
        </w:sectPr>
      </w:pPr>
    </w:p>
    <w:p>
      <w:pPr>
        <w:pStyle w:val="Normal"/>
        <w:spacing w:lineRule="auto" w:line="480"/>
        <w:rPr/>
      </w:pPr>
      <w:r>
        <w:rPr/>
        <w:tab/>
        <w:t>BWMQ believes that the use of the LLC’s capitalization to finance construction of the pipeline’s enhancement facilities can result in significant savings for the pipeline’s customers if the lower financed facilities are incorporated in the development of pipelines rates in a subsequent rate proceeding. This is because the LLC’s leveraged capital structure will result in lower costs in the form of return and income taxes related to the enhancement facilities than the costs which would result from financing the cost of such facilities by means of the parent’s capitalization.  In addition to the lower capital costs resulting from using the LLC’s capitalization, the pipeline can further offer rate levelization techniques that can provide additional savings for the pipelines customers, yet still provide the pipeline with the ability to recover its authorized returns on the equity proceeds generated from the sale of the base gas.  The levelization periods can be adapted to coincide with the term of the PSA service agreement.  For instance, if the initial term is for five years with options for another five years, the initial levelization period can be five years with an appropriate step-down for another five-year levelization period.  With the filing of a rate case, this proposal would assume that the pipeline would determine its return allowance on its existing facilities based on its parents capitalization.  The return for the facilities financed by the LLC would be determined based on the LLC’s capital costs and the levelization methodology utilized.  All other costs such as depreciation, taxes other than income and O&amp;M expenses would be determined in the traditional manner for all facilities.  The return allowance for the traditional financed rate base and the levelized return allowance for the enhancement facilities owned by the LLC would be combined and an appropriate income tax allowance would be determined.  Thus, all ratepayers on the system would benefit from the facilities financed through the LLC’s levelized return allowance.  Stated in other words, the pipeline’s established rates applicable to all its customers would be lower because they would contain a component built in to cover the reduced costs associated with the enhancement facilities financed by the LLC.  This rate concept would obligate the pipeline to pay the LLC its levelized return allowance related to the enhancement facilities from which the debt service cost will be paid.  The LLC, after its debt service obligations, would have remaining its allowed equity return.  However, with respect to the costs incurred for the PSA, BWMQ believes the LLC should have the obligation to cover those costs.  BWMQ believes that the ratepayers should share in such costs, but only to the level the ratepayers would have incurred had the PSA not been instituted.  Thus, the level of cost exposure would not exceed the return and taxes on the reduction to rate base caused by the sale of the base gas.</w:t>
      </w:r>
    </w:p>
    <w:p>
      <w:pPr>
        <w:pStyle w:val="Normal"/>
        <w:spacing w:lineRule="auto" w:line="480"/>
        <w:rPr/>
      </w:pPr>
      <w:r>
        <w:rPr/>
        <w:tab/>
        <w:t>The savings to ratepayers using this financing technique can easily be demonstrated through a rate model that will also incorporate the rate implications of a future increased cost of base gas (BWMQ has the capability of developing a model or can assist ENA if it chooses to develop such a model on its own).  BWMQ believes such a model can demonstrate that this unique financing tool can result in a win-win scenario. Hence, there is a reasonably good likelihood that the pipeline’s customers will agree to the concept.  BWMQ also believes that if the customers agree to the financing proposal the Commission will be more inclined to approve it.</w:t>
      </w:r>
    </w:p>
    <w:p>
      <w:pPr>
        <w:pStyle w:val="Normal"/>
        <w:spacing w:lineRule="auto" w:line="480"/>
        <w:rPr/>
      </w:pPr>
      <w:r>
        <w:rPr/>
        <w:tab/>
        <w:t>BWMQ can envision that the Commission will not be adverse to the pipeline retaining a major portion of the equity realized from the sale of base gas if the LLC’s capitalization reflects a corresponding reduction in equity.  This is because less equity would mean lower rates to customers.  In addition, BWMQ believes it also makes sense for the LLC to finance the cost of the reinjected base gas at the termination of the PSA agreement.  Again, the use of a capitalization with reduced equity would mean less rate exposure for the pipeline’s ratepayers.  The financing of the reprised base gas will further the pipeline’s showing of a commensurate benefit to ratepayers.</w:t>
      </w:r>
    </w:p>
    <w:p>
      <w:pPr>
        <w:pStyle w:val="Normal"/>
        <w:spacing w:lineRule="auto" w:line="480"/>
        <w:rPr/>
      </w:pPr>
      <w:r>
        <w:rPr/>
      </w:r>
    </w:p>
    <w:p>
      <w:pPr>
        <w:pStyle w:val="Normal"/>
        <w:spacing w:lineRule="auto" w:line="480"/>
        <w:rPr/>
      </w:pPr>
      <w:r>
        <w:rPr>
          <w:b/>
          <w:u w:val="single"/>
        </w:rPr>
        <w:t>Hedging</w:t>
      </w:r>
      <w:r>
        <w:fldChar w:fldCharType="begin"/>
      </w:r>
      <w:r>
        <w:rPr/>
        <w:instrText xml:space="preserve"> TC "Hedging" \l 1 </w:instrText>
      </w:r>
      <w:r>
        <w:rPr/>
        <w:fldChar w:fldCharType="separate"/>
      </w:r>
      <w:r>
        <w:rPr/>
      </w:r>
      <w:r>
        <w:rPr/>
        <w:fldChar w:fldCharType="end"/>
      </w:r>
    </w:p>
    <w:p>
      <w:pPr>
        <w:pStyle w:val="Normal"/>
        <w:spacing w:lineRule="auto" w:line="480"/>
        <w:rPr/>
      </w:pPr>
      <w:r>
        <w:rPr/>
        <w:tab/>
        <w:t>Another issue raised by ENA’s proposal concerns whether ENA should be hedging the buy back gas.  Hedging involves the use of forward markets and futures contracts whereby a buyer of natural gas can protect itself against future price increases in the spot market by contracting to buy gas in the future at a fixed price.  It is axiomatic that the use of these markets involves a cost, the level of which depends upon the length of the contracts and the amount of protection the buyer wishes to purchase.  Thus, the price the buyer pays in the long run for the commodity (natural gas) is higher than it would otherwise pay had it not hedged, but the buyer is protected from potentially damaging upward swings in price.</w:t>
      </w:r>
    </w:p>
    <w:p>
      <w:pPr>
        <w:pStyle w:val="Normal"/>
        <w:spacing w:lineRule="auto" w:line="480"/>
        <w:rPr/>
      </w:pPr>
      <w:r>
        <w:rPr/>
        <w:tab/>
        <w:t>Although the Commission has addressed hedging informally in Commission meetings and in public forums as it applies to the California electricity markets, the Commission has not taken a formal stance on the matter in terms of voicing approval or disapproval of specific hedging operations or of hedging in general.  Historically, the Commission has viewed the purchasing practices of the entities it regulates as follows: utility management is in a better position than a regulator to make decisions on the financial and physical operations of a privately owned public utility.  Management is paid to make such judgements and to take necessary risks.  However, the Commission has the authority and responsibility to review the prudence of such decisions, and indeed, does so whenever it deems necessary, but it does not substitute its judgement for that of management prior to any decision that is made.  Furthermore, there is a presumption of prudence on the part of management that must be rebutted by evidence filed by those who would have costs disallowed as “imprudent.”</w:t>
      </w:r>
    </w:p>
    <w:p>
      <w:pPr>
        <w:pStyle w:val="Normal"/>
        <w:spacing w:lineRule="auto" w:line="480"/>
        <w:rPr/>
      </w:pPr>
      <w:r>
        <w:rPr/>
        <w:tab/>
        <w:t>BWMQ can find no cases in which the FERC specifically ruled that hedging was either prudent or imprudent.  In an initial decision, issued in Iroquois Gas Transmission System, L.P., in Docket No. RP97-126-000 (81 FERC ¶ 63,012), the presiding administrative law judge ruled that Iroquois was prudent in refusing to hedge interest rates:</w:t>
      </w:r>
    </w:p>
    <w:p>
      <w:pPr>
        <w:pStyle w:val="Normal"/>
        <w:ind w:start="1440" w:end="720"/>
        <w:rPr/>
      </w:pPr>
      <w:r>
        <w:rPr/>
        <w:tab/>
        <w:t>“Iroquois counters that the interest rate hedging Joint Parties endorse would have involved substantial risks.  The Company maintains that the hedges could have produced accounting losses of approximately $29 million on certain interest rate swaps entered into by Iroquois in accordance with its initial financing.  Exh. IGTS-41 at 4-5.  The Commission also represents that it consulted with Staff to clarify the risks associated with swap loss recognition in making the decision whether to accept the bank proposals.  Exh. IGTS-41 at 7; Tr. At 1639, 1642.  Iroquois submits that the choice between a short-term loan amendment and more comprehensive long-term refinancing is not as clear or simple as Joint Parties suggest. Exh. IGTS-41 at 8; IGTS IB at 90.”</w:t>
      </w:r>
    </w:p>
    <w:p>
      <w:pPr>
        <w:pStyle w:val="Normal"/>
        <w:rPr/>
      </w:pPr>
      <w:r>
        <w:rPr/>
      </w:r>
    </w:p>
    <w:p>
      <w:pPr>
        <w:pStyle w:val="Normal"/>
        <w:spacing w:lineRule="auto" w:line="480"/>
        <w:rPr/>
      </w:pPr>
      <w:r>
        <w:rPr/>
        <w:tab/>
        <w:t>As best as can be determined, the parties did not contest this outcome in their briefs to the Commission, as noted by its order affirming in part and reversing in part, issued July 29, 1998 (84 FERC ¶ 61,086):</w:t>
      </w:r>
    </w:p>
    <w:p>
      <w:pPr>
        <w:pStyle w:val="Normal"/>
        <w:ind w:start="1440" w:end="720"/>
        <w:rPr/>
      </w:pPr>
      <w:r>
        <w:rPr/>
        <w:tab/>
        <w:t>“In the Initial Decision, the ALJ accepted Iroquois’ actual test period debt cost of 8.73 percent.  No party challenged this aspect of the Initial Decision.  The Commission finds that the evidence supports this conclusion and affirms the Initial Decision on this issue.”</w:t>
      </w:r>
    </w:p>
    <w:p>
      <w:pPr>
        <w:pStyle w:val="Normal"/>
        <w:rPr/>
      </w:pPr>
      <w:r>
        <w:rPr/>
      </w:r>
    </w:p>
    <w:p>
      <w:pPr>
        <w:pStyle w:val="Normal"/>
        <w:spacing w:lineRule="auto" w:line="480"/>
        <w:rPr/>
      </w:pPr>
      <w:r>
        <w:rPr/>
        <w:tab/>
        <w:t>However, with respect to ENA’s Base Gas Transaction proposal, hedging may be appropriate in order to protect the pipeline and customers from higher natural gas prices in five years.  Because the formal futures markets do not offer 5-year contracts, Enron would most likely have to offer a private producer (or producers) a contract specifying an option to buy gas in the future at a fixed price.  Of course, the lower the price Enron is willing to pay for the replacement gas, the higher the price of the option.  Nevertheless, because ENA’s proposal would reprice the base gas at market price at the end of the 5 year term, the Commission may not favorably consider a proposal which results in significant cost increases to the pipelines customers without attendant commensurate benefits.  Hedging provides protection against such an occurrence.  Also, the cost incurred, if ENA proceeds with a hedging program, may be significant.  If ENA shares the profits from the sale of base gas with the customers, it may be appropriate to also share the cost of hedging.  In addition, if by hedging, its possible for the pipeline to contract for assured supply at less than the projected market cost, ENA should then be in a more favorable position to share with customers its hedging costs.  However, if ENA does not share the proceeds from the base gas sale with customers, then the Commission would very likely require the pipeline to absorb all of the costs incurred in the hedging program.  This cost would most likely have to be paid from the net equity return earned by the LLC.</w:t>
      </w:r>
    </w:p>
    <w:p>
      <w:pPr>
        <w:pStyle w:val="Normal"/>
        <w:spacing w:lineRule="auto" w:line="480"/>
        <w:rPr/>
      </w:pPr>
      <w:r>
        <w:rPr/>
      </w:r>
    </w:p>
    <w:p>
      <w:pPr>
        <w:pStyle w:val="Normal"/>
        <w:spacing w:lineRule="auto" w:line="480"/>
        <w:rPr>
          <w:u w:val="single"/>
        </w:rPr>
      </w:pPr>
      <w:r>
        <w:rPr>
          <w:b/>
          <w:u w:val="single"/>
        </w:rPr>
        <w:t>What is the Appropriate Format to be used to Reprice the Base Gas?  (i.e., a limited Section 4 filing?  Section 7(c) certificate application? Etc.)</w:t>
      </w:r>
      <w:r>
        <w:fldChar w:fldCharType="begin"/>
      </w:r>
      <w:r>
        <w:rPr/>
        <w:instrText xml:space="preserve"> TC "What is the Appropriate Format to be used to Reprice the Base Gas?  (i.e., a limited Section 4 filing?  Section 7(c) certificate application? Etc.)" \l 1 </w:instrText>
      </w:r>
      <w:r>
        <w:rPr/>
        <w:fldChar w:fldCharType="separate"/>
      </w:r>
      <w:r>
        <w:rPr/>
      </w:r>
      <w:r>
        <w:rPr/>
        <w:fldChar w:fldCharType="end"/>
      </w:r>
    </w:p>
    <w:p>
      <w:pPr>
        <w:pStyle w:val="Normal"/>
        <w:spacing w:lineRule="auto" w:line="480"/>
        <w:rPr/>
      </w:pPr>
      <w:r>
        <w:rPr/>
        <w:tab/>
        <w:t xml:space="preserve">BWMQ’s proposed financing technique using an LLC, as described above, would require the pipeline to file a Section 7(c) certificate application to obtain approval to render new or incremental services upon the enhancement facilities being completed and placed in service. It is possible that the Commission will condition any such certificate to require the pipeline to file a  full Section 4 rate case.  Under such a format, the issue of repricing can be accomplished with a rate formula in place that will provide for an acceptable method for repricing the base gas.  Such a rate formula could be established when the pipeline files an abandonment application to sell the excess base gas.  It may even be possible for the pipeline to negotiate a settlement which would enable the pipeline to file a limited Section 4 to place increased rates in effect recognizing the increase in rate base for the reinjected gas. </w:t>
      </w:r>
    </w:p>
    <w:p>
      <w:pPr>
        <w:pStyle w:val="Normal"/>
        <w:spacing w:lineRule="auto" w:line="480"/>
        <w:rPr/>
      </w:pPr>
      <w:r>
        <w:rPr/>
        <w:tab/>
        <w:t>BWMQ believes that there are other formats that can accomplish a pipeline’s objectives without necessarily filing a full Section 4 rate case.  In certain instances a limited Section 4 may accomplish the pipeline’s goals.  In other instances a pipeline may be able to submit a cost and revenue filing justifying its underlying rates followed by a limited Section 4 filing to implement the pipeline’s rate proposal.  The facts and circumstances of each individual pipeline’s needs would have to be evaluated in order for BWMQ or the pipeline to determine the best format to use.  It is important to note that the filing of a Section 7 application does not permit a pipeline the opportunity to change its underlying rates.  Rates can only be changed in a Section 4 rate filing.  (However, it is possible that the Commission can approve the methodology for repricing the base gas in the initial certificate order approving the abandonment of the base gas.  The pipeline would then have to make a Section 4 filing to implement the actual repricing)  In other words, by not using a full Section 4 rate filing, the pipeline may limit any obligation or requirement to share the income realized from the sale of the base gas with its ratepayers.  In that regard, absent some commitment in the abandonment proceeding to make a rate filing in the future when the base gas is reacquired, the Commission may require the direct crediting of a share of the net revenues from the proceeds from the sale of the base gas.  This result could be a disincentive to the pipeline and would certainly cause the pipeline to reconsider putting forth such a rate proposal</w:t>
      </w:r>
    </w:p>
    <w:p>
      <w:pPr>
        <w:pStyle w:val="Normal"/>
        <w:spacing w:lineRule="auto" w:line="480"/>
        <w:rPr/>
      </w:pPr>
      <w:r>
        <w:rPr/>
      </w:r>
    </w:p>
    <w:p>
      <w:pPr>
        <w:pStyle w:val="Normal"/>
        <w:spacing w:lineRule="auto" w:line="480"/>
        <w:rPr/>
      </w:pPr>
      <w:r>
        <w:rPr>
          <w:b/>
          <w:u w:val="single"/>
        </w:rPr>
        <w:t>Which Elements/Parts of the Structure are Critical for the Structure as a Whole to Work?</w:t>
      </w:r>
      <w:r>
        <w:fldChar w:fldCharType="begin"/>
      </w:r>
      <w:r>
        <w:rPr/>
        <w:instrText xml:space="preserve"> TC "Which Elements/Parts of the Structure are Critical for the Structure as a Whole to Work?" \l 1 </w:instrText>
      </w:r>
      <w:r>
        <w:rPr/>
        <w:fldChar w:fldCharType="separate"/>
      </w:r>
      <w:r>
        <w:rPr/>
      </w:r>
      <w:r>
        <w:rPr/>
        <w:fldChar w:fldCharType="end"/>
      </w:r>
    </w:p>
    <w:p>
      <w:pPr>
        <w:pStyle w:val="Normal"/>
        <w:spacing w:lineRule="auto" w:line="480"/>
        <w:rPr/>
      </w:pPr>
      <w:r>
        <w:rPr/>
        <w:tab/>
        <w:t xml:space="preserve">Based on the presentation of the Proposal by ENA, the basic elements of the Proposal are for identified pipelines to sell excess quantities of storage base gas to a purchaser arranged by ENA and subsequently acquire the base gas at a higher price than its current recorded cost, with such higher price then being reflected as the recorded cost. </w:t>
      </w:r>
    </w:p>
    <w:p>
      <w:pPr>
        <w:pStyle w:val="Normal"/>
        <w:spacing w:lineRule="auto" w:line="480"/>
        <w:rPr/>
      </w:pPr>
      <w:r>
        <w:rPr/>
        <w:tab/>
        <w:t>In order to achieve the result contemplated in the Proposal, BWMQ believes it will be necessary for each pipeline to affirmatively demonstrate in a filing with the FERC, that the quality of existing storage services and no-notice services being rendered by the pipeline will not be impaired and that the Proposal will result in commensurate benefits to the pipeline’s customers.  In addition, the pipeline will have to present a specific plan whereby the net funds derived from the sale of the excess base gas will be devoted to the construction of system enhancement facilities, which will be operated by the pipeline.  BWMQ also believes that the best way for the structure as a whole to work is for the pipeline participating in the Proposal to establish a separate LLC, which will be able to obtain off-balance sheet financing for construction of the infrastructure facilities. Under this arrangement, the cost to the pipeline’s customers will be much less than if the pipeline were to finance the cost of the infrastructure, enhancement facilities based on its own balance sheet. BWMQ believes these items should be adequate to satisfy the FERC, that the Proposal is in the public convenience and necessity.</w:t>
      </w:r>
    </w:p>
    <w:p>
      <w:pPr>
        <w:pStyle w:val="Normal"/>
        <w:spacing w:lineRule="auto" w:line="480"/>
        <w:rPr/>
      </w:pPr>
      <w:r>
        <w:rPr/>
        <w:tab/>
        <w:t>Another important and critical element related to the Proposal is the acceptance and approval (or non-opposition) of the implementation of the proposal by the pipeline’s customers. In that regard, BWMQ believes that the same items discussed above with respect to regulatory agency approval will be required to obtain customer support (or non-opposition) for the Proposal.  In fact, the best course of action might well be to obtain agreement with the pipeline’s customers before formally submitting the Proposal to the regulatory body.</w:t>
      </w:r>
    </w:p>
    <w:p>
      <w:pPr>
        <w:pStyle w:val="Normal"/>
        <w:spacing w:lineRule="auto" w:line="480"/>
        <w:rPr/>
      </w:pPr>
      <w:r>
        <w:rPr/>
      </w:r>
    </w:p>
    <w:p>
      <w:pPr>
        <w:pStyle w:val="Normal"/>
        <w:spacing w:lineRule="auto" w:line="480"/>
        <w:rPr/>
      </w:pPr>
      <w:r>
        <w:rPr>
          <w:b/>
          <w:u w:val="single"/>
        </w:rPr>
        <w:t>From a Regulatory Perspective, How Can ENA’s Proposed Structure be Improved While Keeping Within the Accounting and Financial Constraints Detailed in ENA’s Presentation?</w:t>
      </w:r>
      <w:r>
        <w:fldChar w:fldCharType="begin"/>
      </w:r>
      <w:r>
        <w:rPr/>
        <w:instrText xml:space="preserve"> TC "From a Regulatory Perspective, How Can ENA’s Proposed Structure be Improved While Keeping Within the Accounting and Financial Constraints Detailed in ENA’s Presentation?" \l 1 </w:instrText>
      </w:r>
      <w:r>
        <w:rPr/>
        <w:fldChar w:fldCharType="separate"/>
      </w:r>
      <w:r>
        <w:rPr/>
      </w:r>
      <w:r>
        <w:rPr/>
        <w:fldChar w:fldCharType="end"/>
      </w:r>
    </w:p>
    <w:p>
      <w:pPr>
        <w:pStyle w:val="Normal"/>
        <w:spacing w:lineRule="auto" w:line="480"/>
        <w:rPr/>
      </w:pPr>
      <w:r>
        <w:rPr/>
        <w:tab/>
        <w:t>BWMQ believes the best way to improve the proposed structure while keeping within the accounting and financial constraints detailed in ENA’s presentation is the concept discussed beginning with the last paragraph on page 18 above and continuing through the last paragraph on page 21 immediately prior to the section entitled “Hedging.” In particular, that portion of the  paper discusses the use of an LLC to facilitate off-balance sheet financing to cover the costs of enhancement facilities which must be constructed and the reduced costs to a pipeline’s customers, which can be obtained as a result of such financing.  In the final analysis, however, BWMQ believes that some sharing of the net revenues resulting from the sale of the base gas will be required in order to obtain regulatory approval of the Proposal.</w:t>
      </w:r>
    </w:p>
    <w:sectPr>
      <w:footnotePr>
        <w:numFmt w:val="decimal"/>
      </w:footnotePr>
      <w:type w:val="continuous"/>
      <w:pgSz w:w="12240" w:h="15840"/>
      <w:pgMar w:left="1440" w:right="1440" w:gutter="0" w:header="1440" w:top="2078"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48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48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480"/>
      <w:rPr/>
    </w:pPr>
    <w:r>
      <w:rPr/>
    </w:r>
    <w:r>
      <mc:AlternateContent>
        <mc:Choice Requires="wps">
          <w:drawing>
            <wp:anchor behindDoc="0" distT="0" distB="0" distL="0" distR="0" simplePos="0" locked="0" layoutInCell="0" allowOverlap="1" relativeHeight="7">
              <wp:simplePos x="0" y="0"/>
              <wp:positionH relativeFrom="column">
                <wp:align>left</wp:align>
              </wp:positionH>
              <wp:positionV relativeFrom="page">
                <wp:posOffset>9372600</wp:posOffset>
              </wp:positionV>
              <wp:extent cx="5943600" cy="177800"/>
              <wp:effectExtent l="0" t="0" r="0" b="0"/>
              <wp:wrapTopAndBottom/>
              <wp:docPr id="1" name="Frame2"/>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spacing w:lineRule="atLeast" w:line="0"/>
                            <w:jc w:val="center"/>
                            <w:rPr>
                              <w:vanish/>
                            </w:rPr>
                          </w:pPr>
                          <w:r>
                            <w:rPr/>
                            <w:fldChar w:fldCharType="begin"/>
                          </w:r>
                          <w:r>
                            <w:rPr/>
                            <w:instrText xml:space="preserve"> PAGE \* ARABIC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38pt;mso-position-vertical-relative:page;margin-left:0pt;mso-position-horizontal:left;mso-position-horizontal-relative:text">
              <v:fill opacity="0f"/>
              <v:textbox inset="0in,0in,0in,0in">
                <w:txbxContent>
                  <w:p>
                    <w:pPr>
                      <w:pStyle w:val="Normal"/>
                      <w:spacing w:lineRule="atLeast" w:line="0"/>
                      <w:jc w:val="center"/>
                      <w:rPr>
                        <w:vanish/>
                      </w:rPr>
                    </w:pPr>
                    <w:r>
                      <w:rPr/>
                      <w:fldChar w:fldCharType="begin"/>
                    </w:r>
                    <w:r>
                      <w:rPr/>
                      <w:instrText xml:space="preserve"> PAGE \* ARABIC </w:instrText>
                    </w:r>
                    <w:r>
                      <w:rPr/>
                      <w:fldChar w:fldCharType="separate"/>
                    </w:r>
                    <w:r>
                      <w:rPr/>
                      <w:t>4</w:t>
                    </w:r>
                    <w:r>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480"/>
      <w:rPr/>
    </w:pPr>
    <w:r>
      <w:rPr/>
    </w:r>
    <w:r>
      <mc:AlternateContent>
        <mc:Choice Requires="wps">
          <w:drawing>
            <wp:anchor behindDoc="0" distT="0" distB="0" distL="0" distR="0" simplePos="0" locked="0" layoutInCell="0" allowOverlap="1" relativeHeight="5">
              <wp:simplePos x="0" y="0"/>
              <wp:positionH relativeFrom="column">
                <wp:align>left</wp:align>
              </wp:positionH>
              <wp:positionV relativeFrom="page">
                <wp:posOffset>9372600</wp:posOffset>
              </wp:positionV>
              <wp:extent cx="5943600" cy="177800"/>
              <wp:effectExtent l="0" t="0" r="0" b="0"/>
              <wp:wrapTopAndBottom/>
              <wp:docPr id="2" name="Frame1"/>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spacing w:lineRule="atLeast" w:line="0"/>
                            <w:jc w:val="center"/>
                            <w:rPr>
                              <w:vanish/>
                            </w:rPr>
                          </w:pPr>
                          <w:r>
                            <w:rPr/>
                            <w:fldChar w:fldCharType="begin"/>
                          </w:r>
                          <w:r>
                            <w:rPr/>
                            <w:instrText xml:space="preserve"> PAGE \* ARABIC </w:instrText>
                          </w:r>
                          <w:r>
                            <w:rPr/>
                            <w:fldChar w:fldCharType="separate"/>
                          </w:r>
                          <w:r>
                            <w:rPr/>
                            <w:t>5</w:t>
                          </w:r>
                          <w:r>
                            <w:rPr/>
                            <w:fldChar w:fldCharType="end"/>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38pt;mso-position-vertical-relative:page;margin-left:0pt;mso-position-horizontal:left;mso-position-horizontal-relative:text">
              <v:fill opacity="0f"/>
              <v:textbox inset="0in,0in,0in,0in">
                <w:txbxContent>
                  <w:p>
                    <w:pPr>
                      <w:pStyle w:val="Normal"/>
                      <w:spacing w:lineRule="atLeast" w:line="0"/>
                      <w:jc w:val="center"/>
                      <w:rPr>
                        <w:vanish/>
                      </w:rPr>
                    </w:pPr>
                    <w:r>
                      <w:rPr/>
                      <w:fldChar w:fldCharType="begin"/>
                    </w:r>
                    <w:r>
                      <w:rPr/>
                      <w:instrText xml:space="preserve"> PAGE \* ARABIC </w:instrText>
                    </w:r>
                    <w:r>
                      <w:rPr/>
                      <w:fldChar w:fldCharType="separate"/>
                    </w:r>
                    <w:r>
                      <w:rPr/>
                      <w:t>5</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480"/>
      <w:rPr/>
    </w:pPr>
    <w:r>
      <w:rPr/>
    </w:r>
    <w:r>
      <mc:AlternateContent>
        <mc:Choice Requires="wps">
          <w:drawing>
            <wp:anchor behindDoc="0" distT="0" distB="0" distL="0" distR="0" simplePos="0" locked="0" layoutInCell="0" allowOverlap="1" relativeHeight="8">
              <wp:simplePos x="0" y="0"/>
              <wp:positionH relativeFrom="column">
                <wp:align>left</wp:align>
              </wp:positionH>
              <wp:positionV relativeFrom="page">
                <wp:posOffset>9372600</wp:posOffset>
              </wp:positionV>
              <wp:extent cx="5943600" cy="177800"/>
              <wp:effectExtent l="0" t="0" r="0" b="0"/>
              <wp:wrapTopAndBottom/>
              <wp:docPr id="3" name="Frame4"/>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spacing w:lineRule="atLeast" w:line="0"/>
                            <w:jc w:val="center"/>
                            <w:rPr/>
                          </w:pPr>
                          <w:r>
                            <w:rPr/>
                            <w:fldChar w:fldCharType="begin"/>
                          </w:r>
                          <w:r>
                            <w:rPr/>
                            <w:instrText xml:space="preserve"> PAGE \* ARABIC </w:instrText>
                          </w:r>
                          <w:r>
                            <w:rPr/>
                            <w:fldChar w:fldCharType="separate"/>
                          </w:r>
                          <w:r>
                            <w:rPr/>
                            <w:t>6</w:t>
                          </w:r>
                          <w:r>
                            <w:rPr/>
                            <w:fldChar w:fldCharType="end"/>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38pt;mso-position-vertical-relative:page;margin-left:0pt;mso-position-horizontal:left;mso-position-horizontal-relative:text">
              <v:fill opacity="0f"/>
              <v:textbox inset="0in,0in,0in,0in">
                <w:txbxContent>
                  <w:p>
                    <w:pPr>
                      <w:pStyle w:val="Normal"/>
                      <w:spacing w:lineRule="atLeast" w:line="0"/>
                      <w:jc w:val="center"/>
                      <w:rPr/>
                    </w:pPr>
                    <w:r>
                      <w:rPr/>
                      <w:fldChar w:fldCharType="begin"/>
                    </w:r>
                    <w:r>
                      <w:rPr/>
                      <w:instrText xml:space="preserve"> PAGE \* ARABIC </w:instrText>
                    </w:r>
                    <w:r>
                      <w:rPr/>
                      <w:fldChar w:fldCharType="separate"/>
                    </w:r>
                    <w:r>
                      <w:rPr/>
                      <w:t>6</w:t>
                    </w:r>
                    <w:r>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480"/>
      <w:rPr/>
    </w:pPr>
    <w:r>
      <w:rPr/>
    </w:r>
    <w:r>
      <mc:AlternateContent>
        <mc:Choice Requires="wps">
          <w:drawing>
            <wp:anchor behindDoc="0" distT="0" distB="0" distL="0" distR="0" simplePos="0" locked="0" layoutInCell="0" allowOverlap="1" relativeHeight="4">
              <wp:simplePos x="0" y="0"/>
              <wp:positionH relativeFrom="column">
                <wp:align>left</wp:align>
              </wp:positionH>
              <wp:positionV relativeFrom="page">
                <wp:posOffset>9372600</wp:posOffset>
              </wp:positionV>
              <wp:extent cx="5943600" cy="177800"/>
              <wp:effectExtent l="0" t="0" r="0" b="0"/>
              <wp:wrapTopAndBottom/>
              <wp:docPr id="4" name="Frame3"/>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spacing w:lineRule="atLeast" w:line="0"/>
                            <w:jc w:val="center"/>
                            <w:rPr/>
                          </w:pPr>
                          <w:r>
                            <w:rPr/>
                            <w:fldChar w:fldCharType="begin"/>
                          </w:r>
                          <w:r>
                            <w:rPr/>
                            <w:instrText xml:space="preserve"> PAGE \* ARABIC </w:instrText>
                          </w:r>
                          <w:r>
                            <w:rPr/>
                            <w:fldChar w:fldCharType="separate"/>
                          </w:r>
                          <w:r>
                            <w:rPr/>
                            <w:t>7</w:t>
                          </w:r>
                          <w:r>
                            <w:rPr/>
                            <w:fldChar w:fldCharType="end"/>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38pt;mso-position-vertical-relative:page;margin-left:0pt;mso-position-horizontal:left;mso-position-horizontal-relative:text">
              <v:fill opacity="0f"/>
              <v:textbox inset="0in,0in,0in,0in">
                <w:txbxContent>
                  <w:p>
                    <w:pPr>
                      <w:pStyle w:val="Normal"/>
                      <w:spacing w:lineRule="atLeast" w:line="0"/>
                      <w:jc w:val="center"/>
                      <w:rPr/>
                    </w:pPr>
                    <w:r>
                      <w:rPr/>
                      <w:fldChar w:fldCharType="begin"/>
                    </w:r>
                    <w:r>
                      <w:rPr/>
                      <w:instrText xml:space="preserve"> PAGE \* ARABIC </w:instrText>
                    </w:r>
                    <w:r>
                      <w:rPr/>
                      <w:fldChar w:fldCharType="separate"/>
                    </w:r>
                    <w:r>
                      <w:rPr/>
                      <w:t>7</w:t>
                    </w:r>
                    <w:r>
                      <w:rPr/>
                      <w:fldChar w:fldCharType="end"/>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lineRule="auto" w:line="480" w:before="240" w:after="0"/>
        <w:ind w:hanging="1440" w:start="1440" w:end="0"/>
        <w:rPr/>
      </w:pPr>
      <w:r>
        <w:rPr>
          <w:rStyle w:val="FootnoteCharacters"/>
        </w:rPr>
        <w:footnoteRef/>
      </w:r>
      <w:r>
        <w:rPr/>
        <w:tab/>
      </w:r>
      <w:r>
        <w:rPr>
          <w:vertAlign w:val="superscript"/>
        </w:rPr>
        <w:t>?</w:t>
      </w:r>
      <w:r>
        <w:rPr/>
        <w:t>/</w:t>
        <w:tab/>
        <w:t>This paper limits BWMQ’s observation of regulatory concerns to that of FERC.</w:t>
      </w:r>
    </w:p>
  </w:footnote>
  <w:footnote w:id="3">
    <w:p>
      <w:pPr>
        <w:pStyle w:val="Normal"/>
        <w:spacing w:lineRule="auto" w:line="480" w:before="240" w:after="0"/>
        <w:rPr/>
      </w:pPr>
      <w:r>
        <w:rPr>
          <w:rStyle w:val="FootnoteCharacters"/>
        </w:rPr>
        <w:footnoteRef/>
      </w:r>
      <w:r>
        <w:rPr/>
        <w:tab/>
      </w:r>
      <w:r>
        <w:rPr>
          <w:vertAlign w:val="superscript"/>
        </w:rPr>
        <w:t>?</w:t>
      </w:r>
      <w:r>
        <w:rPr/>
        <w:t xml:space="preserve">  The current market price means the delivered spot price of gas published in a recognized industry journal.  FERC Stat. &amp; Reg. </w:t>
      </w:r>
      <w:r>
        <w:rPr>
          <w:rFonts w:cs="WP TypographicSymbols" w:ascii="WP TypographicSymbols" w:hAnsi="WP TypographicSymbols"/>
        </w:rPr>
        <w:t>&amp;</w:t>
      </w:r>
      <w:r>
        <w:rPr/>
        <w:t xml:space="preserve"> 31,026, </w:t>
      </w:r>
      <w:r>
        <w:rPr>
          <w:b/>
        </w:rPr>
        <w:t>f. 25.</w:t>
      </w:r>
      <w:r>
        <w:fldChar w:fldCharType="begin"/>
      </w:r>
      <w:r>
        <w:rPr/>
        <w:instrText xml:space="preserve"> ADVANCE \d 12</w:instrText>
      </w:r>
      <w:r>
        <w:rPr/>
      </w:r>
      <w:r>
        <w:rPr/>
        <w:fldChar w:fldCharType="separate"/>
      </w:r>
      <w:r>
        <w:rPr/>
      </w:r>
      <w:r/>
      <w:r>
        <w:rPr/>
        <w:fldChar w:fldCharType="end"/>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48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48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48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48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0"/>
      <w:jc w:val="end"/>
      <w:rPr>
        <w:sz w:val="20"/>
      </w:rPr>
    </w:pPr>
    <w:r>
      <w:rPr>
        <w:sz w:val="20"/>
      </w:rPr>
      <w:t>PRIVILEGED AND CONFIDENTIAL</w:t>
    </w:r>
  </w:p>
  <w:p>
    <w:pPr>
      <w:pStyle w:val="Normal"/>
      <w:spacing w:lineRule="auto" w:line="480"/>
      <w:jc w:val="end"/>
      <w:rPr>
        <w:sz w:val="20"/>
      </w:rPr>
    </w:pPr>
    <w:r>
      <w:rPr>
        <w:sz w:val="20"/>
      </w:rPr>
      <w:t>ATTORNEY/CLIENT WORK PRODUCT</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0"/>
      <w:jc w:val="end"/>
      <w:rPr>
        <w:sz w:val="20"/>
      </w:rPr>
    </w:pPr>
    <w:r>
      <w:rPr>
        <w:sz w:val="20"/>
      </w:rPr>
      <w:t>PRIVILEGED AND CONFIDENTIAL</w:t>
    </w:r>
  </w:p>
  <w:p>
    <w:pPr>
      <w:pStyle w:val="Normal"/>
      <w:spacing w:lineRule="auto" w:line="480"/>
      <w:jc w:val="end"/>
      <w:rPr>
        <w:sz w:val="20"/>
      </w:rPr>
    </w:pPr>
    <w:r>
      <w:rPr>
        <w:sz w:val="20"/>
      </w:rPr>
      <w:t>ATTORNEY/CLIENT WORK PRODUCT</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0"/>
      <w:jc w:val="end"/>
      <w:rPr>
        <w:sz w:val="20"/>
      </w:rPr>
    </w:pPr>
    <w:r>
      <w:rPr>
        <w:sz w:val="20"/>
      </w:rPr>
      <w:t>PRIVILEGED AND CONFIDENTIAL</w:t>
    </w:r>
  </w:p>
  <w:p>
    <w:pPr>
      <w:pStyle w:val="Normal"/>
      <w:spacing w:lineRule="auto" w:line="480"/>
      <w:jc w:val="end"/>
      <w:rPr>
        <w:sz w:val="20"/>
      </w:rPr>
    </w:pPr>
    <w:r>
      <w:rPr>
        <w:sz w:val="20"/>
      </w:rPr>
      <w:t>ATTORNEY/CLIENT WORK PRODUCT</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0"/>
      <w:jc w:val="end"/>
      <w:rPr>
        <w:sz w:val="20"/>
      </w:rPr>
    </w:pPr>
    <w:r>
      <w:rPr>
        <w:sz w:val="20"/>
      </w:rPr>
      <w:t>PRIVILEGED AND CONFIDENTIAL</w:t>
    </w:r>
  </w:p>
  <w:p>
    <w:pPr>
      <w:pStyle w:val="Normal"/>
      <w:spacing w:lineRule="auto" w:line="480"/>
      <w:jc w:val="end"/>
      <w:rPr>
        <w:sz w:val="20"/>
      </w:rPr>
    </w:pPr>
    <w:r>
      <w:rPr>
        <w:sz w:val="20"/>
      </w:rPr>
      <w:t>ATTORNEY/CLIENT WORK PRODUCT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suff w:val="nothing"/>
      <w:lvlText w:val="%1."/>
      <w:lvlJc w:val="start"/>
      <w:pPr>
        <w:tabs>
          <w:tab w:val="num" w:pos="0"/>
        </w:tabs>
        <w:ind w:start="0" w:hanging="0"/>
      </w:pPr>
    </w:lvl>
  </w:abstractNum>
  <w:abstractNum w:abstractNumId="2">
    <w:lvl w:ilvl="0">
      <w:start w:val="1"/>
      <w:numFmt w:val="lowerLetter"/>
      <w:suff w:val="nothing"/>
      <w:lvlText w:val="%1."/>
      <w:lvlJc w:val="start"/>
      <w:pPr>
        <w:tabs>
          <w:tab w:val="num" w:pos="0"/>
        </w:tabs>
        <w:ind w:start="0" w:hanging="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widowControl w:val="false"/>
    </w:pPr>
    <w:rPr/>
  </w:style>
  <w:style w:type="paragraph" w:styleId="TestimonyA">
    <w:name w:val="Testimony A."/>
    <w:basedOn w:val="Normal"/>
    <w:qFormat/>
    <w:pPr>
      <w:widowControl w:val="false"/>
    </w:pPr>
    <w:rPr/>
  </w:style>
  <w:style w:type="paragraph" w:styleId="TestimonyQ">
    <w:name w:val="Testimony Q."/>
    <w:basedOn w:val="Normal"/>
    <w:qFormat/>
    <w:pPr>
      <w:widowControl w:val="false"/>
    </w:pPr>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2001-09-19T13:42:00Z</dcterms:created>
  <dc:creator>dfulton8</dc:creator>
  <dc:description/>
  <dc:language>en-CA</dc:language>
  <cp:lastModifiedBy>dfulton8</cp:lastModifiedBy>
  <dcterms:modified xsi:type="dcterms:W3CDTF">2001-09-19T13:42:00Z</dcterms:modified>
  <cp:revision>2</cp:revision>
  <dc:subject/>
  <dc:title/>
</cp:coreProperties>
</file>