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78" w:type="dxa"/>
        <w:jc w:val="start"/>
        <w:tblInd w:w="198" w:type="dxa"/>
        <w:tblLayout w:type="fixed"/>
        <w:tblCellMar>
          <w:top w:w="0" w:type="dxa"/>
          <w:start w:w="108" w:type="dxa"/>
          <w:bottom w:w="0" w:type="dxa"/>
          <w:end w:w="108" w:type="dxa"/>
        </w:tblCellMar>
      </w:tblPr>
      <w:tblGrid>
        <w:gridCol w:w="2700"/>
        <w:gridCol w:w="3960"/>
        <w:gridCol w:w="2718"/>
      </w:tblGrid>
      <w:tr>
        <w:trPr/>
        <w:tc>
          <w:tcPr>
            <w:tcW w:w="2700" w:type="dxa"/>
            <w:tcBorders/>
          </w:tcPr>
          <w:p>
            <w:pPr>
              <w:pStyle w:val="Footer"/>
              <w:tabs>
                <w:tab w:val="clear" w:pos="4320"/>
                <w:tab w:val="clear" w:pos="8640"/>
              </w:tabs>
              <w:rPr>
                <w:sz w:val="16"/>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tc>
        <w:tc>
          <w:tcPr>
            <w:tcW w:w="3960" w:type="dxa"/>
            <w:tcBorders/>
          </w:tcPr>
          <w:p>
            <w:pPr>
              <w:pStyle w:val="Normal"/>
              <w:tabs>
                <w:tab w:val="clear" w:pos="540"/>
                <w:tab w:val="left" w:pos="342" w:leader="none"/>
              </w:tabs>
              <w:snapToGrid w:val="false"/>
              <w:rPr>
                <w:sz w:val="16"/>
              </w:rPr>
            </w:pPr>
            <w:r>
              <w:rPr>
                <w:sz w:val="16"/>
              </w:rPr>
            </w:r>
          </w:p>
          <w:p>
            <w:pPr>
              <w:pStyle w:val="Normal"/>
              <w:tabs>
                <w:tab w:val="clear" w:pos="540"/>
                <w:tab w:val="left" w:pos="342" w:leader="none"/>
                <w:tab w:val="left" w:pos="1062" w:leader="none"/>
              </w:tabs>
              <w:rPr>
                <w:sz w:val="16"/>
              </w:rPr>
            </w:pPr>
            <w:r>
              <w:rPr>
                <w:sz w:val="16"/>
              </w:rPr>
              <w:tab/>
            </w:r>
            <w:r>
              <w:rPr>
                <w:b/>
                <w:sz w:val="16"/>
              </w:rPr>
              <w:t>Rob Cole, Manager - Claims</w:t>
            </w:r>
          </w:p>
          <w:p>
            <w:pPr>
              <w:pStyle w:val="Normal"/>
              <w:tabs>
                <w:tab w:val="clear" w:pos="540"/>
                <w:tab w:val="left" w:pos="342" w:leader="none"/>
                <w:tab w:val="left" w:pos="1062" w:leader="none"/>
              </w:tabs>
              <w:rPr/>
            </w:pPr>
            <w:r>
              <w:rPr>
                <w:sz w:val="16"/>
              </w:rPr>
              <w:tab/>
            </w:r>
            <w:r>
              <w:rPr>
                <w:i/>
                <w:sz w:val="16"/>
              </w:rPr>
              <w:t>Corporate Risk Management</w:t>
            </w:r>
          </w:p>
          <w:p>
            <w:pPr>
              <w:pStyle w:val="Heading2"/>
              <w:tabs>
                <w:tab w:val="clear" w:pos="522"/>
                <w:tab w:val="left" w:pos="342" w:leader="none"/>
                <w:tab w:val="left" w:pos="1062" w:leader="none"/>
              </w:tabs>
              <w:ind w:hanging="0" w:start="0"/>
              <w:rPr/>
            </w:pPr>
            <w:r>
              <w:rPr/>
              <w:tab/>
              <w:t>Direct:</w:t>
              <w:tab/>
              <w:t>(713) 853-7739</w:t>
            </w:r>
          </w:p>
          <w:p>
            <w:pPr>
              <w:pStyle w:val="Heading2"/>
              <w:tabs>
                <w:tab w:val="clear" w:pos="522"/>
                <w:tab w:val="left" w:pos="342" w:leader="none"/>
                <w:tab w:val="left" w:pos="1062" w:leader="none"/>
              </w:tabs>
              <w:ind w:hanging="0" w:start="0"/>
              <w:rPr/>
            </w:pPr>
            <w:r>
              <w:rPr/>
              <w:tab/>
              <w:t>Fax:</w:t>
              <w:tab/>
              <w:t>(713) 646-2341</w:t>
            </w:r>
          </w:p>
          <w:p>
            <w:pPr>
              <w:pStyle w:val="Heading2"/>
              <w:tabs>
                <w:tab w:val="clear" w:pos="522"/>
                <w:tab w:val="left" w:pos="342" w:leader="none"/>
                <w:tab w:val="left" w:pos="1062" w:leader="none"/>
              </w:tabs>
              <w:ind w:hanging="0" w:start="0"/>
              <w:rPr/>
            </w:pPr>
            <w:r>
              <w:rPr/>
              <w:tab/>
              <w:t>Email:</w:t>
              <w:tab/>
              <w:t>Rob.Cole@enron.com</w:t>
            </w:r>
          </w:p>
        </w:tc>
        <w:tc>
          <w:tcPr>
            <w:tcW w:w="2718" w:type="dxa"/>
            <w:tcBorders/>
          </w:tcPr>
          <w:p>
            <w:pPr>
              <w:pStyle w:val="Heading"/>
              <w:snapToGrid w:val="false"/>
              <w:rPr>
                <w:sz w:val="22"/>
              </w:rPr>
            </w:pPr>
            <w:r>
              <w:rPr>
                <w:sz w:val="22"/>
              </w:rPr>
            </w:r>
          </w:p>
          <w:p>
            <w:pPr>
              <w:pStyle w:val="Heading"/>
              <w:rPr>
                <w:sz w:val="32"/>
              </w:rPr>
            </w:pPr>
            <w:r>
              <w:rPr>
                <w:sz w:val="32"/>
              </w:rPr>
              <w:t>Interoffice</w:t>
            </w:r>
          </w:p>
          <w:p>
            <w:pPr>
              <w:pStyle w:val="Subtitle"/>
              <w:jc w:val="start"/>
              <w:rPr>
                <w:sz w:val="16"/>
              </w:rPr>
            </w:pPr>
            <w:r>
              <w:rPr/>
              <w:t>Memorandum</w:t>
            </w:r>
          </w:p>
        </w:tc>
      </w:tr>
    </w:tbl>
    <w:p>
      <w:pPr>
        <w:pStyle w:val="Normal"/>
        <w:tabs>
          <w:tab w:val="clear" w:pos="540"/>
        </w:tabs>
        <w:ind w:start="90" w:end="0"/>
        <w:jc w:val="both"/>
        <w:rPr>
          <w:sz w:val="16"/>
        </w:rPr>
      </w:pPr>
      <w:r>
        <w:rPr>
          <w:sz w:val="16"/>
        </w:rPr>
      </w:r>
    </w:p>
    <w:p>
      <w:pPr>
        <w:pStyle w:val="Normal"/>
        <w:tabs>
          <w:tab w:val="clear" w:pos="540"/>
        </w:tabs>
        <w:ind w:start="90" w:end="0"/>
        <w:jc w:val="both"/>
        <w:rPr>
          <w:sz w:val="16"/>
        </w:rPr>
      </w:pPr>
      <w:r>
        <w:rPr>
          <w:sz w:val="16"/>
        </w:rPr>
      </w:r>
    </w:p>
    <w:p>
      <w:pPr>
        <w:pStyle w:val="Normal"/>
        <w:tabs>
          <w:tab w:val="clear" w:pos="540"/>
          <w:tab w:val="left" w:pos="720" w:leader="none"/>
        </w:tabs>
        <w:ind w:start="90" w:end="0"/>
        <w:jc w:val="both"/>
        <w:rPr/>
      </w:pPr>
      <w:r>
        <w:rPr/>
        <w:t>To:</w:t>
        <w:tab/>
        <w:t>Bonnie A. White, Senior Counsel (</w:t>
      </w:r>
      <w:r>
        <w:rPr>
          <w:i/>
        </w:rPr>
        <w:t>via email</w:t>
      </w:r>
      <w:r>
        <w:rPr/>
        <w:t>)</w:t>
      </w:r>
    </w:p>
    <w:p>
      <w:pPr>
        <w:pStyle w:val="Normal"/>
        <w:tabs>
          <w:tab w:val="clear" w:pos="540"/>
        </w:tabs>
        <w:ind w:start="90" w:end="0"/>
        <w:jc w:val="both"/>
        <w:rPr>
          <w:sz w:val="16"/>
        </w:rPr>
      </w:pPr>
      <w:r>
        <w:rPr>
          <w:sz w:val="16"/>
        </w:rPr>
      </w:r>
    </w:p>
    <w:p>
      <w:pPr>
        <w:pStyle w:val="Normal"/>
        <w:tabs>
          <w:tab w:val="clear" w:pos="540"/>
        </w:tabs>
        <w:ind w:start="90" w:end="0"/>
        <w:jc w:val="both"/>
        <w:rPr>
          <w:sz w:val="16"/>
        </w:rPr>
      </w:pPr>
      <w:r>
        <w:rPr>
          <w:sz w:val="16"/>
        </w:rPr>
      </w:r>
    </w:p>
    <w:p>
      <w:pPr>
        <w:pStyle w:val="Footer"/>
        <w:tabs>
          <w:tab w:val="clear" w:pos="4320"/>
          <w:tab w:val="clear" w:pos="8640"/>
          <w:tab w:val="left" w:pos="720" w:leader="none"/>
          <w:tab w:val="left" w:pos="1890" w:leader="none"/>
          <w:tab w:val="left" w:pos="2070" w:leader="none"/>
        </w:tabs>
        <w:ind w:start="90" w:end="0"/>
        <w:rPr/>
      </w:pPr>
      <w:r>
        <w:rPr/>
        <w:t>Re:</w:t>
        <w:tab/>
        <w:t>Insured</w:t>
        <w:tab/>
        <w:t>:</w:t>
        <w:tab/>
        <w:t>Enron Investment Partners, etal.</w:t>
      </w:r>
    </w:p>
    <w:p>
      <w:pPr>
        <w:pStyle w:val="Footer"/>
        <w:tabs>
          <w:tab w:val="clear" w:pos="4320"/>
          <w:tab w:val="clear" w:pos="8640"/>
          <w:tab w:val="left" w:pos="720" w:leader="none"/>
          <w:tab w:val="left" w:pos="1890" w:leader="none"/>
          <w:tab w:val="left" w:pos="2070" w:leader="none"/>
        </w:tabs>
        <w:ind w:start="90" w:end="0"/>
        <w:rPr/>
      </w:pPr>
      <w:r>
        <w:rPr/>
        <w:tab/>
        <w:t>Plaintiff</w:t>
        <w:tab/>
        <w:t>:</w:t>
        <w:tab/>
        <w:t>Intrust USA, Ltd/James Mingey</w:t>
      </w:r>
    </w:p>
    <w:p>
      <w:pPr>
        <w:pStyle w:val="Footer"/>
        <w:tabs>
          <w:tab w:val="clear" w:pos="4320"/>
          <w:tab w:val="clear" w:pos="8640"/>
          <w:tab w:val="left" w:pos="720" w:leader="none"/>
          <w:tab w:val="left" w:pos="1890" w:leader="none"/>
          <w:tab w:val="left" w:pos="2070" w:leader="none"/>
        </w:tabs>
        <w:ind w:start="90" w:end="0"/>
        <w:rPr/>
      </w:pPr>
      <w:r>
        <w:rPr/>
        <w:tab/>
        <w:t>D/A</w:t>
        <w:tab/>
        <w:t>:</w:t>
        <w:tab/>
        <w:t>Unknown at Present</w:t>
      </w:r>
    </w:p>
    <w:p>
      <w:pPr>
        <w:pStyle w:val="Normal"/>
        <w:tabs>
          <w:tab w:val="clear" w:pos="540"/>
        </w:tabs>
        <w:ind w:start="90" w:end="0"/>
        <w:jc w:val="both"/>
        <w:rPr>
          <w:sz w:val="16"/>
        </w:rPr>
      </w:pPr>
      <w:r>
        <w:rPr>
          <w:sz w:val="16"/>
        </w:rPr>
      </w:r>
    </w:p>
    <w:p>
      <w:pPr>
        <w:pStyle w:val="Normal"/>
        <w:tabs>
          <w:tab w:val="clear" w:pos="540"/>
        </w:tabs>
        <w:ind w:start="90" w:end="0"/>
        <w:jc w:val="both"/>
        <w:rPr>
          <w:sz w:val="16"/>
        </w:rPr>
      </w:pPr>
      <w:r>
        <w:rPr>
          <w:sz w:val="16"/>
        </w:rPr>
      </w:r>
    </w:p>
    <w:p>
      <w:pPr>
        <w:pStyle w:val="BodyText"/>
        <w:tabs>
          <w:tab w:val="clear" w:pos="540"/>
        </w:tabs>
        <w:ind w:start="90" w:end="0"/>
        <w:rPr/>
      </w:pPr>
      <w:r>
        <w:rPr/>
        <w:t xml:space="preserve">We have reviewed the </w:t>
      </w:r>
      <w:r>
        <w:rPr>
          <w:b/>
          <w:u w:val="single"/>
        </w:rPr>
        <w:t>PLAINTIFF’S ORIGINAL PETITION</w:t>
      </w:r>
      <w:r>
        <w:rPr/>
        <w:t xml:space="preserve"> (Civil No. 2000-36893) with respect to the above.  The Causes of Action are as follows:</w:t>
      </w:r>
    </w:p>
    <w:p>
      <w:pPr>
        <w:pStyle w:val="Normal"/>
        <w:tabs>
          <w:tab w:val="clear" w:pos="540"/>
        </w:tabs>
        <w:ind w:start="90" w:end="0"/>
        <w:jc w:val="both"/>
        <w:rPr>
          <w:sz w:val="16"/>
        </w:rPr>
      </w:pPr>
      <w:r>
        <w:rPr>
          <w:sz w:val="16"/>
        </w:rPr>
      </w:r>
    </w:p>
    <w:p>
      <w:pPr>
        <w:pStyle w:val="Normal"/>
        <w:numPr>
          <w:ilvl w:val="0"/>
          <w:numId w:val="3"/>
        </w:numPr>
        <w:ind w:hanging="0" w:start="90" w:end="0"/>
        <w:jc w:val="both"/>
        <w:rPr/>
      </w:pPr>
      <w:r>
        <w:rPr/>
        <w:t xml:space="preserve">Count One – </w:t>
      </w:r>
      <w:r>
        <w:rPr>
          <w:b/>
          <w:i/>
        </w:rPr>
        <w:t>Action for Defamation</w:t>
      </w:r>
    </w:p>
    <w:p>
      <w:pPr>
        <w:pStyle w:val="Normal"/>
        <w:numPr>
          <w:ilvl w:val="0"/>
          <w:numId w:val="3"/>
        </w:numPr>
        <w:ind w:hanging="0" w:start="90" w:end="0"/>
        <w:jc w:val="both"/>
        <w:rPr/>
      </w:pPr>
      <w:r>
        <w:rPr/>
        <w:t xml:space="preserve">Count Two – </w:t>
      </w:r>
      <w:r>
        <w:rPr>
          <w:b/>
          <w:i/>
        </w:rPr>
        <w:t>Action for Business Disparagement</w:t>
      </w:r>
    </w:p>
    <w:p>
      <w:pPr>
        <w:pStyle w:val="Normal"/>
        <w:numPr>
          <w:ilvl w:val="0"/>
          <w:numId w:val="3"/>
        </w:numPr>
        <w:ind w:hanging="0" w:start="90" w:end="0"/>
        <w:jc w:val="both"/>
        <w:rPr/>
      </w:pPr>
      <w:r>
        <w:rPr/>
        <w:t xml:space="preserve">Count Three – </w:t>
      </w:r>
      <w:r>
        <w:rPr>
          <w:b/>
          <w:i/>
        </w:rPr>
        <w:t>Action for Civil Conspiracy</w:t>
      </w:r>
    </w:p>
    <w:p>
      <w:pPr>
        <w:pStyle w:val="Normal"/>
        <w:tabs>
          <w:tab w:val="clear" w:pos="540"/>
        </w:tabs>
        <w:ind w:start="90" w:end="0"/>
        <w:jc w:val="both"/>
        <w:rPr>
          <w:sz w:val="16"/>
        </w:rPr>
      </w:pPr>
      <w:r>
        <w:rPr>
          <w:sz w:val="16"/>
        </w:rPr>
      </w:r>
    </w:p>
    <w:p>
      <w:pPr>
        <w:pStyle w:val="Normal"/>
        <w:tabs>
          <w:tab w:val="clear" w:pos="540"/>
        </w:tabs>
        <w:ind w:start="90" w:end="0"/>
        <w:jc w:val="both"/>
        <w:rPr/>
      </w:pPr>
      <w:r>
        <w:rPr/>
        <w:t xml:space="preserve">Our review indicates there is a duty to defend the </w:t>
      </w:r>
      <w:r>
        <w:rPr>
          <w:b/>
          <w:i/>
          <w:u w:val="single"/>
        </w:rPr>
        <w:t>entire</w:t>
      </w:r>
      <w:r>
        <w:rPr/>
        <w:t xml:space="preserve"> matter based upon the allegations contained in Count One pursuant to the following policy wording:</w:t>
      </w:r>
    </w:p>
    <w:p>
      <w:pPr>
        <w:pStyle w:val="Normal"/>
        <w:tabs>
          <w:tab w:val="clear" w:pos="540"/>
        </w:tabs>
        <w:ind w:start="90" w:end="0"/>
        <w:jc w:val="both"/>
        <w:rPr>
          <w:sz w:val="16"/>
        </w:rPr>
      </w:pPr>
      <w:r>
        <w:rPr>
          <w:sz w:val="16"/>
        </w:rPr>
      </w:r>
    </w:p>
    <w:p>
      <w:pPr>
        <w:pStyle w:val="Normal"/>
        <w:ind w:start="90" w:end="0"/>
        <w:jc w:val="both"/>
        <w:rPr>
          <w:b/>
        </w:rPr>
      </w:pPr>
      <w:r>
        <w:rPr>
          <w:b/>
        </w:rPr>
        <w:t>COVERAGE B. PERSONAL AND ADVERTISING INJURY LIABILITY</w:t>
      </w:r>
    </w:p>
    <w:p>
      <w:pPr>
        <w:pStyle w:val="Normal"/>
        <w:ind w:start="90" w:end="0"/>
        <w:jc w:val="both"/>
        <w:rPr>
          <w:b/>
          <w:sz w:val="16"/>
        </w:rPr>
      </w:pPr>
      <w:r>
        <w:rPr>
          <w:b/>
          <w:sz w:val="16"/>
        </w:rPr>
      </w:r>
    </w:p>
    <w:p>
      <w:pPr>
        <w:pStyle w:val="Normal"/>
        <w:ind w:start="90" w:end="0"/>
        <w:jc w:val="both"/>
        <w:rPr>
          <w:b/>
        </w:rPr>
      </w:pPr>
      <w:r>
        <w:rPr>
          <w:b/>
        </w:rPr>
        <w:t>1.</w:t>
        <w:tab/>
        <w:t>Insuring Agreement</w:t>
      </w:r>
    </w:p>
    <w:p>
      <w:pPr>
        <w:pStyle w:val="Normal"/>
        <w:ind w:start="90" w:end="0"/>
        <w:jc w:val="both"/>
        <w:rPr>
          <w:b/>
          <w:sz w:val="16"/>
        </w:rPr>
      </w:pPr>
      <w:r>
        <w:rPr>
          <w:b/>
          <w:sz w:val="16"/>
        </w:rPr>
      </w:r>
    </w:p>
    <w:p>
      <w:pPr>
        <w:pStyle w:val="Normal"/>
        <w:tabs>
          <w:tab w:val="left" w:pos="540" w:leader="none"/>
          <w:tab w:val="left" w:pos="900" w:leader="none"/>
        </w:tabs>
        <w:ind w:hanging="900" w:start="900" w:end="0"/>
        <w:jc w:val="both"/>
        <w:rPr/>
      </w:pPr>
      <w:r>
        <w:rPr/>
        <w:tab/>
        <w:t>a.</w:t>
        <w:tab/>
        <w:t>We will pay those sums that the insured becomes legally obligated to pay as damages because of “personal injury” or “advertising injury” to which this coverage part applies.  We will have the right and duty to defend any “suit” seeking those damages.  We may at our discretion investigate any “occurrence” or offense and settle any claim or “suit” that may result.  But:...</w:t>
      </w:r>
    </w:p>
    <w:p>
      <w:pPr>
        <w:pStyle w:val="Normal"/>
        <w:ind w:start="90" w:end="0"/>
        <w:jc w:val="both"/>
        <w:rPr>
          <w:sz w:val="16"/>
        </w:rPr>
      </w:pPr>
      <w:r>
        <w:rPr>
          <w:sz w:val="16"/>
        </w:rPr>
      </w:r>
    </w:p>
    <w:p>
      <w:pPr>
        <w:pStyle w:val="Normal"/>
        <w:tabs>
          <w:tab w:val="left" w:pos="540" w:leader="none"/>
          <w:tab w:val="left" w:pos="900" w:leader="none"/>
        </w:tabs>
        <w:ind w:start="90" w:end="0"/>
        <w:jc w:val="both"/>
        <w:rPr/>
      </w:pPr>
      <w:r>
        <w:rPr/>
        <w:tab/>
        <w:t>b.</w:t>
        <w:tab/>
        <w:t>This insurance applies to:</w:t>
      </w:r>
    </w:p>
    <w:p>
      <w:pPr>
        <w:pStyle w:val="Normal"/>
        <w:ind w:start="90" w:end="0"/>
        <w:jc w:val="both"/>
        <w:rPr>
          <w:sz w:val="16"/>
        </w:rPr>
      </w:pPr>
      <w:r>
        <w:rPr>
          <w:sz w:val="16"/>
        </w:rPr>
      </w:r>
    </w:p>
    <w:p>
      <w:pPr>
        <w:pStyle w:val="Normal"/>
        <w:numPr>
          <w:ilvl w:val="0"/>
          <w:numId w:val="2"/>
        </w:numPr>
        <w:tabs>
          <w:tab w:val="left" w:pos="540" w:leader="none"/>
          <w:tab w:val="left" w:pos="900" w:leader="none"/>
        </w:tabs>
        <w:ind w:hanging="540" w:start="900" w:end="0"/>
        <w:jc w:val="both"/>
        <w:rPr/>
      </w:pPr>
      <w:r>
        <w:rPr/>
        <w:t>“</w:t>
      </w:r>
      <w:r>
        <w:rPr/>
        <w:t>Personal injury” caused by an offense arising out of your business, excluding advertising, publishing, broadcasting or telecasting done by or for you;</w:t>
      </w:r>
    </w:p>
    <w:p>
      <w:pPr>
        <w:pStyle w:val="Normal"/>
        <w:tabs>
          <w:tab w:val="left" w:pos="540" w:leader="none"/>
          <w:tab w:val="left" w:pos="1080" w:leader="none"/>
        </w:tabs>
        <w:ind w:start="90" w:end="0"/>
        <w:jc w:val="both"/>
        <w:rPr>
          <w:sz w:val="16"/>
        </w:rPr>
      </w:pPr>
      <w:r>
        <w:rPr>
          <w:sz w:val="16"/>
        </w:rPr>
      </w:r>
    </w:p>
    <w:p>
      <w:pPr>
        <w:pStyle w:val="Normal"/>
        <w:tabs>
          <w:tab w:val="clear" w:pos="540"/>
          <w:tab w:val="left" w:pos="1080" w:leader="none"/>
        </w:tabs>
        <w:ind w:start="900" w:end="0"/>
        <w:jc w:val="both"/>
        <w:rPr/>
      </w:pPr>
      <w:r>
        <w:rPr/>
        <w:t>but only if the offense was committed in the “coverage territory” during the policy period.</w:t>
      </w:r>
    </w:p>
    <w:p>
      <w:pPr>
        <w:pStyle w:val="Normal"/>
        <w:ind w:hanging="1080" w:start="90" w:end="0"/>
        <w:jc w:val="both"/>
        <w:rPr>
          <w:sz w:val="16"/>
        </w:rPr>
      </w:pPr>
      <w:r>
        <w:rPr>
          <w:sz w:val="16"/>
        </w:rPr>
      </w:r>
    </w:p>
    <w:p>
      <w:pPr>
        <w:pStyle w:val="Normal"/>
        <w:ind w:start="90" w:end="0"/>
        <w:jc w:val="both"/>
        <w:rPr>
          <w:b/>
        </w:rPr>
      </w:pPr>
      <w:r>
        <w:rPr>
          <w:b/>
        </w:rPr>
        <w:t>2.</w:t>
        <w:tab/>
        <w:t>Exclusions</w:t>
      </w:r>
    </w:p>
    <w:p>
      <w:pPr>
        <w:pStyle w:val="Normal"/>
        <w:ind w:start="90" w:end="0"/>
        <w:jc w:val="both"/>
        <w:rPr>
          <w:b/>
          <w:sz w:val="16"/>
        </w:rPr>
      </w:pPr>
      <w:r>
        <w:rPr>
          <w:b/>
          <w:sz w:val="16"/>
        </w:rPr>
      </w:r>
    </w:p>
    <w:p>
      <w:pPr>
        <w:pStyle w:val="Normal"/>
        <w:ind w:start="90" w:end="0"/>
        <w:jc w:val="both"/>
        <w:rPr/>
      </w:pPr>
      <w:r>
        <w:rPr/>
        <w:tab/>
        <w:t>This insurance does not apply to:</w:t>
      </w:r>
    </w:p>
    <w:p>
      <w:pPr>
        <w:pStyle w:val="Normal"/>
        <w:ind w:start="90" w:end="0"/>
        <w:jc w:val="both"/>
        <w:rPr>
          <w:sz w:val="16"/>
        </w:rPr>
      </w:pPr>
      <w:r>
        <w:rPr>
          <w:sz w:val="16"/>
        </w:rPr>
      </w:r>
    </w:p>
    <w:p>
      <w:pPr>
        <w:pStyle w:val="Normal"/>
        <w:tabs>
          <w:tab w:val="left" w:pos="540" w:leader="none"/>
          <w:tab w:val="left" w:pos="900" w:leader="none"/>
        </w:tabs>
        <w:ind w:start="90" w:end="0"/>
        <w:jc w:val="both"/>
        <w:rPr/>
      </w:pPr>
      <w:r>
        <w:rPr/>
        <w:tab/>
        <w:t>a.</w:t>
        <w:tab/>
        <w:t>“Personal injury” or “advertising injury”:</w:t>
      </w:r>
    </w:p>
    <w:p>
      <w:pPr>
        <w:pStyle w:val="Normal"/>
        <w:ind w:start="90" w:end="0"/>
        <w:jc w:val="both"/>
        <w:rPr>
          <w:sz w:val="16"/>
        </w:rPr>
      </w:pPr>
      <w:r>
        <w:rPr>
          <w:sz w:val="16"/>
        </w:rPr>
      </w:r>
    </w:p>
    <w:p>
      <w:pPr>
        <w:pStyle w:val="Normal"/>
        <w:tabs>
          <w:tab w:val="left" w:pos="540" w:leader="none"/>
          <w:tab w:val="left" w:pos="900" w:leader="none"/>
          <w:tab w:val="left" w:pos="1440" w:leader="none"/>
        </w:tabs>
        <w:ind w:hanging="1350" w:start="1440" w:end="0"/>
        <w:jc w:val="both"/>
        <w:rPr/>
      </w:pPr>
      <w:r>
        <w:rPr/>
        <w:tab/>
        <w:tab/>
        <w:t>(1)</w:t>
        <w:tab/>
        <w:t>Arising out of oral or written publication of material, if done by or at the direction of the insured with knowledge of its falsity;</w:t>
      </w:r>
    </w:p>
    <w:p>
      <w:pPr>
        <w:pStyle w:val="Normal"/>
        <w:tabs>
          <w:tab w:val="left" w:pos="540" w:leader="none"/>
          <w:tab w:val="left" w:pos="900" w:leader="none"/>
          <w:tab w:val="left" w:pos="1440" w:leader="none"/>
        </w:tabs>
        <w:ind w:hanging="1350" w:start="90" w:end="0"/>
        <w:jc w:val="both"/>
        <w:rPr>
          <w:sz w:val="16"/>
        </w:rPr>
      </w:pPr>
      <w:r>
        <w:rPr>
          <w:sz w:val="16"/>
        </w:rPr>
      </w:r>
    </w:p>
    <w:p>
      <w:pPr>
        <w:pStyle w:val="Normal"/>
        <w:tabs>
          <w:tab w:val="left" w:pos="540" w:leader="none"/>
          <w:tab w:val="left" w:pos="900" w:leader="none"/>
          <w:tab w:val="left" w:pos="1440" w:leader="none"/>
        </w:tabs>
        <w:ind w:hanging="1350" w:start="1440" w:end="0"/>
        <w:jc w:val="both"/>
        <w:rPr/>
      </w:pPr>
      <w:r>
        <w:rPr/>
        <w:tab/>
        <w:tab/>
        <w:t>(2)</w:t>
        <w:tab/>
        <w:t>Arising out of oral or written publication of material whose first publication took place before the beginning of the policy period;</w:t>
      </w:r>
    </w:p>
    <w:p>
      <w:pPr>
        <w:pStyle w:val="Normal"/>
        <w:tabs>
          <w:tab w:val="left" w:pos="540" w:leader="none"/>
          <w:tab w:val="left" w:pos="900" w:leader="none"/>
          <w:tab w:val="left" w:pos="1440" w:leader="none"/>
        </w:tabs>
        <w:ind w:hanging="1350" w:start="90" w:end="0"/>
        <w:jc w:val="both"/>
        <w:rPr>
          <w:sz w:val="16"/>
        </w:rPr>
      </w:pPr>
      <w:r>
        <w:rPr>
          <w:sz w:val="16"/>
        </w:rPr>
      </w:r>
    </w:p>
    <w:p>
      <w:pPr>
        <w:pStyle w:val="Normal"/>
        <w:tabs>
          <w:tab w:val="left" w:pos="540" w:leader="none"/>
          <w:tab w:val="left" w:pos="900" w:leader="none"/>
          <w:tab w:val="left" w:pos="1440" w:leader="none"/>
        </w:tabs>
        <w:ind w:hanging="1350" w:start="1440" w:end="0"/>
        <w:jc w:val="both"/>
        <w:rPr/>
      </w:pPr>
      <w:r>
        <w:rPr/>
        <w:tab/>
        <w:tab/>
        <w:t>(3)</w:t>
        <w:tab/>
        <w:t>Arising out of the willful violation of a penal statute or ordinance committed by or with the consent of the insured; or</w:t>
      </w:r>
    </w:p>
    <w:p>
      <w:pPr>
        <w:pStyle w:val="Normal"/>
        <w:tabs>
          <w:tab w:val="left" w:pos="540" w:leader="none"/>
          <w:tab w:val="left" w:pos="900" w:leader="none"/>
          <w:tab w:val="left" w:pos="1440" w:leader="none"/>
        </w:tabs>
        <w:ind w:hanging="1350" w:start="90" w:end="0"/>
        <w:jc w:val="both"/>
        <w:rPr>
          <w:sz w:val="16"/>
        </w:rPr>
      </w:pPr>
      <w:r>
        <w:rPr>
          <w:sz w:val="16"/>
        </w:rPr>
      </w:r>
    </w:p>
    <w:p>
      <w:pPr>
        <w:pStyle w:val="Normal"/>
        <w:tabs>
          <w:tab w:val="left" w:pos="540" w:leader="none"/>
          <w:tab w:val="left" w:pos="900" w:leader="none"/>
          <w:tab w:val="left" w:pos="1440" w:leader="none"/>
        </w:tabs>
        <w:ind w:hanging="1350" w:start="1440" w:end="0"/>
        <w:jc w:val="both"/>
        <w:rPr/>
      </w:pPr>
      <w:r>
        <w:rPr/>
        <w:tab/>
        <w:tab/>
        <w:t>(4)</w:t>
        <w:tab/>
        <w:t>For which the insured has assumed liability in a contract or agreement.  This exclusion does not apply to liability for damages that the insured would have in the absence of the contract or agreement.</w:t>
      </w:r>
    </w:p>
    <w:p>
      <w:pPr>
        <w:pStyle w:val="Normal"/>
        <w:ind w:start="90" w:end="0"/>
        <w:jc w:val="both"/>
        <w:rPr>
          <w:sz w:val="16"/>
        </w:rPr>
      </w:pPr>
      <w:r>
        <w:rPr>
          <w:sz w:val="16"/>
        </w:rPr>
      </w:r>
    </w:p>
    <w:p>
      <w:pPr>
        <w:pStyle w:val="BodyTextIndent2"/>
        <w:ind w:hanging="450" w:end="0"/>
        <w:jc w:val="both"/>
        <w:rPr/>
      </w:pPr>
      <w:r>
        <w:rPr/>
        <w:t>13.</w:t>
        <w:tab/>
        <w:t>“Personal injury” means injury, other than “bodily injury”, arising out of one or more of the following offenses:</w:t>
      </w:r>
    </w:p>
    <w:p>
      <w:pPr>
        <w:pStyle w:val="Normal"/>
        <w:ind w:start="90" w:end="0"/>
        <w:jc w:val="both"/>
        <w:rPr>
          <w:sz w:val="16"/>
        </w:rPr>
      </w:pPr>
      <w:r>
        <w:rPr>
          <w:sz w:val="16"/>
        </w:rPr>
      </w:r>
    </w:p>
    <w:p>
      <w:pPr>
        <w:pStyle w:val="BodyTextIndent3"/>
        <w:ind w:hanging="810" w:end="0"/>
        <w:jc w:val="both"/>
        <w:rPr/>
      </w:pPr>
      <w:r>
        <w:rPr/>
        <w:tab/>
        <w:t>d.</w:t>
        <w:tab/>
        <w:t>Oral or written publication of material that slanders or libels a person or organization or disparages a person's or organization's goods, products or services; or…</w:t>
      </w:r>
    </w:p>
    <w:p>
      <w:pPr>
        <w:pStyle w:val="Normal"/>
        <w:ind w:start="90" w:end="0"/>
        <w:jc w:val="both"/>
        <w:rPr>
          <w:sz w:val="16"/>
        </w:rPr>
      </w:pPr>
      <w:r>
        <w:rPr>
          <w:sz w:val="16"/>
        </w:rPr>
      </w:r>
    </w:p>
    <w:p>
      <w:pPr>
        <w:pStyle w:val="Normal"/>
        <w:ind w:start="90" w:end="0"/>
        <w:jc w:val="both"/>
        <w:rPr/>
      </w:pPr>
      <w:r>
        <w:rPr/>
        <w:t xml:space="preserve">Count One – </w:t>
      </w:r>
      <w:r>
        <w:rPr>
          <w:b/>
          <w:i/>
        </w:rPr>
        <w:t>Action for Defamation</w:t>
      </w:r>
      <w:r>
        <w:rPr/>
        <w:t xml:space="preserve">, falls within the definition of “Personal injury”. Count Two – </w:t>
      </w:r>
      <w:r>
        <w:rPr>
          <w:b/>
          <w:i/>
        </w:rPr>
        <w:t>Action for Business Disparagement</w:t>
      </w:r>
      <w:r>
        <w:rPr/>
        <w:t xml:space="preserve">, is not covered as it relates to a publication that was allegedly “made maliciously and with knowledge of its falsity”, which is specifically excluded. Count Three – </w:t>
      </w:r>
      <w:r>
        <w:rPr>
          <w:b/>
          <w:i/>
        </w:rPr>
        <w:t>Action for Civil Conspiracy</w:t>
      </w:r>
      <w:r>
        <w:rPr/>
        <w:t>, is not covered as it constitutes intentional action.</w:t>
      </w:r>
    </w:p>
    <w:p>
      <w:pPr>
        <w:pStyle w:val="Normal"/>
        <w:ind w:start="90" w:end="0"/>
        <w:jc w:val="both"/>
        <w:rPr>
          <w:sz w:val="16"/>
        </w:rPr>
      </w:pPr>
      <w:r>
        <w:rPr>
          <w:sz w:val="16"/>
        </w:rPr>
      </w:r>
    </w:p>
    <w:p>
      <w:pPr>
        <w:pStyle w:val="Normal"/>
        <w:ind w:start="90" w:end="0"/>
        <w:jc w:val="both"/>
        <w:rPr/>
      </w:pPr>
      <w:r>
        <w:rPr/>
        <w:t xml:space="preserve">As we discussed yesterday, I understand there are other pleadings which we may need to review for possible coverage.  Please forward once they are received.  Also, we need to obtain a copy of the Houston Chronicle article referred to within the </w:t>
      </w:r>
      <w:r>
        <w:rPr>
          <w:b/>
          <w:u w:val="single"/>
        </w:rPr>
        <w:t>PLAINTIFF’S ORIGINAL PETITION</w:t>
      </w:r>
      <w:r>
        <w:rPr/>
        <w:t xml:space="preserve"> as the date of the newspaper article will constitute our loss date.  Lastly, we may want to meet with selected counsel so that each of us can be brought up to date on this matter given their involvement in the prior related litigation.</w:t>
      </w:r>
    </w:p>
    <w:p>
      <w:pPr>
        <w:pStyle w:val="Normal"/>
        <w:ind w:start="90" w:end="0"/>
        <w:jc w:val="both"/>
        <w:rPr>
          <w:sz w:val="16"/>
        </w:rPr>
      </w:pPr>
      <w:r>
        <w:rPr>
          <w:sz w:val="16"/>
        </w:rPr>
      </w:r>
    </w:p>
    <w:p>
      <w:pPr>
        <w:pStyle w:val="Normal"/>
        <w:ind w:start="90" w:end="0"/>
        <w:jc w:val="both"/>
        <w:rPr/>
      </w:pPr>
      <w:r>
        <w:rPr/>
        <w:t xml:space="preserve">In summary, we will defend this </w:t>
      </w:r>
      <w:r>
        <w:rPr>
          <w:b/>
          <w:i/>
          <w:u w:val="single"/>
        </w:rPr>
        <w:t>entire</w:t>
      </w:r>
      <w:r>
        <w:rPr/>
        <w:t xml:space="preserve"> matter.  Any indemnity obligation will be predicated upon an award for damages related to Count One only.</w:t>
      </w:r>
    </w:p>
    <w:p>
      <w:pPr>
        <w:pStyle w:val="Normal"/>
        <w:ind w:start="90" w:end="0"/>
        <w:jc w:val="both"/>
        <w:rPr>
          <w:sz w:val="16"/>
        </w:rPr>
      </w:pPr>
      <w:r>
        <w:rPr>
          <w:sz w:val="16"/>
        </w:rPr>
      </w:r>
    </w:p>
    <w:p>
      <w:pPr>
        <w:pStyle w:val="Normal"/>
        <w:ind w:start="90" w:end="0"/>
        <w:jc w:val="both"/>
        <w:rPr/>
      </w:pPr>
      <w:r>
        <w:rPr/>
        <w:t>Please contact me if clarification is needed with respect to the above.  I look forward to working with you on this matter.  Thanks!</w:t>
      </w:r>
    </w:p>
    <w:p>
      <w:pPr>
        <w:pStyle w:val="Normal"/>
        <w:ind w:start="90" w:end="0"/>
        <w:jc w:val="both"/>
        <w:rPr/>
      </w:pPr>
      <w:r>
        <w:rPr/>
      </w:r>
    </w:p>
    <w:p>
      <w:pPr>
        <w:pStyle w:val="Normal"/>
        <w:ind w:start="90" w:end="0"/>
        <w:jc w:val="both"/>
        <w:rPr/>
      </w:pPr>
      <w:r>
        <w:rPr/>
      </w:r>
    </w:p>
    <w:p>
      <w:pPr>
        <w:pStyle w:val="Normal"/>
        <w:ind w:start="90" w:end="0"/>
        <w:jc w:val="both"/>
        <w:rPr/>
      </w:pPr>
      <w:r>
        <w:rPr/>
      </w:r>
    </w:p>
    <w:p>
      <w:pPr>
        <w:pStyle w:val="Normal"/>
        <w:ind w:start="90" w:end="0"/>
        <w:jc w:val="both"/>
        <w:rPr/>
      </w:pPr>
      <w:r>
        <w:rPr/>
      </w:r>
    </w:p>
    <w:p>
      <w:pPr>
        <w:pStyle w:val="Normal"/>
        <w:ind w:start="90" w:end="0"/>
        <w:jc w:val="both"/>
        <w:rPr/>
      </w:pPr>
      <w:r>
        <w:rPr/>
      </w:r>
    </w:p>
    <w:p>
      <w:pPr>
        <w:pStyle w:val="Normal"/>
        <w:ind w:start="90" w:end="0"/>
        <w:jc w:val="both"/>
        <w:rPr/>
      </w:pPr>
      <w:r>
        <w:rPr/>
      </w:r>
    </w:p>
    <w:p>
      <w:pPr>
        <w:pStyle w:val="Normal"/>
        <w:ind w:start="90" w:end="0"/>
        <w:jc w:val="both"/>
        <w:rPr/>
      </w:pPr>
      <w:r>
        <w:rPr/>
      </w:r>
    </w:p>
    <w:p>
      <w:pPr>
        <w:pStyle w:val="Normal"/>
        <w:ind w:start="90" w:end="0"/>
        <w:jc w:val="both"/>
        <w:rPr/>
      </w:pPr>
      <w:r>
        <w:rPr/>
      </w:r>
    </w:p>
    <w:p>
      <w:pPr>
        <w:pStyle w:val="BodyText"/>
        <w:ind w:start="90" w:end="0"/>
        <w:rPr/>
      </w:pPr>
      <w:r>
        <w:rPr/>
        <w:t>cc:</w:t>
        <w:tab/>
        <w:t>Becky Zikes, Sr. Legal Assistant (</w:t>
      </w:r>
      <w:r>
        <w:rPr>
          <w:i/>
        </w:rPr>
        <w:t>via email</w:t>
      </w:r>
      <w:r>
        <w:rPr/>
        <w:t>)</w:t>
      </w:r>
    </w:p>
    <w:p>
      <w:pPr>
        <w:pStyle w:val="Normal"/>
        <w:ind w:start="90" w:end="0"/>
        <w:jc w:val="both"/>
        <w:rPr/>
      </w:pPr>
      <w:r>
        <w:rPr/>
        <w:tab/>
        <w:t>Richard B. Sanders, Assistant General Counsel (</w:t>
      </w:r>
      <w:r>
        <w:rPr>
          <w:i/>
        </w:rPr>
        <w:t>via email</w:t>
      </w:r>
      <w:r>
        <w:rPr/>
        <w:t>)</w:t>
      </w:r>
    </w:p>
    <w:p>
      <w:pPr>
        <w:pStyle w:val="Normal"/>
        <w:ind w:start="90" w:end="0"/>
        <w:jc w:val="both"/>
        <w:rPr/>
      </w:pPr>
      <w:r>
        <w:rPr/>
        <w:tab/>
        <w:t>Jim Armogida, Assistant General Counsel (</w:t>
      </w:r>
      <w:r>
        <w:rPr>
          <w:i/>
        </w:rPr>
        <w:t>via email</w:t>
      </w:r>
      <w:r>
        <w:rPr/>
        <w:t>)</w:t>
      </w:r>
    </w:p>
    <w:p>
      <w:pPr>
        <w:pStyle w:val="BodyText"/>
        <w:ind w:start="90" w:end="0"/>
        <w:rPr/>
      </w:pPr>
      <w:r>
        <w:rPr/>
        <w:tab/>
        <w:t>James P. Studdert, Director – Claims (</w:t>
      </w:r>
      <w:r>
        <w:rPr>
          <w:i/>
        </w:rPr>
        <w:t>via email</w:t>
      </w:r>
      <w:r>
        <w:rPr/>
        <w:t>)</w:t>
      </w:r>
    </w:p>
    <w:sectPr>
      <w:headerReference w:type="default" r:id="rId3"/>
      <w:headerReference w:type="first" r:id="rId4"/>
      <w:footerReference w:type="default" r:id="rId5"/>
      <w:footerReference w:type="first" r:id="rId6"/>
      <w:type w:val="nextPage"/>
      <w:pgSz w:w="12240" w:h="15840"/>
      <w:pgMar w:left="1440" w:right="1440" w:gutter="0" w:header="720" w:top="776" w:footer="504"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pPr>
    <w:r>
      <w:rPr>
        <w:b/>
        <w:sz w:val="20"/>
      </w:rPr>
      <w:t xml:space="preserve">Endless possibilities. </w:t>
    </w:r>
    <w:r>
      <w:rPr>
        <w:rFonts w:eastAsia="Symbol" w:cs="Symbol" w:ascii="Symbol" w:hAnsi="Symbol"/>
        <w:b/>
        <w:sz w:val="20"/>
      </w:rPr>
      <w:sym w:font="Symbol" w:char="f0e4"/>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20"/>
      </w:rPr>
    </w:pPr>
    <w:r>
      <w:rPr>
        <w:b/>
        <w:sz w:val="20"/>
      </w:rPr>
      <w:t xml:space="preserve">Endless possibilities. </w:t>
    </w:r>
    <w:r>
      <w:rPr>
        <w:rFonts w:eastAsia="Symbol" w:cs="Symbol" w:ascii="Symbol" w:hAnsi="Symbol"/>
        <w:b/>
        <w:sz w:val="20"/>
      </w:rPr>
      <w:sym w:font="Symbol" w:char="f0e4"/>
    </w:r>
  </w:p>
  <w:p>
    <w:pPr>
      <w:pStyle w:val="Footer"/>
      <w:jc w:val="center"/>
      <w:rPr>
        <w:b/>
        <w:sz w:val="20"/>
      </w:rPr>
    </w:pPr>
    <w:r>
      <w:rPr>
        <w:b/>
        <w:sz w:val="20"/>
      </w:rPr>
    </w:r>
  </w:p>
  <w:p>
    <w:pPr>
      <w:pStyle w:val="Footer"/>
      <w:rPr>
        <w:b/>
        <w:i/>
        <w:i/>
        <w:sz w:val="12"/>
        <w:lang w:eastAsia="en-US"/>
      </w:rPr>
    </w:pPr>
    <w:r>
      <w:rPr>
        <w:b/>
        <w:i/>
        <w:sz w:val="12"/>
        <w:lang w:eastAsia="en-US"/>
      </w:rPr>
      <w:fldChar w:fldCharType="begin"/>
    </w:r>
    <w:r>
      <w:rPr>
        <w:sz w:val="12"/>
        <w:i/>
        <w:b/>
        <w:lang w:eastAsia="en-US"/>
      </w:rPr>
      <w:instrText xml:space="preserve"> FILENAME \p </w:instrText>
    </w:r>
    <w:r>
      <w:rPr>
        <w:sz w:val="12"/>
        <w:i/>
        <w:b/>
        <w:lang w:eastAsia="en-US"/>
      </w:rPr>
      <w:fldChar w:fldCharType="separate"/>
    </w:r>
    <w:r>
      <w:rPr>
        <w:sz w:val="12"/>
        <w:i/>
        <w:b/>
        <w:lang w:eastAsia="en-US"/>
      </w:rPr>
      <w:t>/mnt/main-storage/datasets/enron-docs/doc/White.doc</w:t>
    </w:r>
    <w:r>
      <w:rPr>
        <w:sz w:val="12"/>
        <w:i/>
        <w:b/>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720" w:leader="none"/>
        <w:tab w:val="left" w:pos="1890" w:leader="none"/>
        <w:tab w:val="left" w:pos="2070" w:leader="none"/>
      </w:tabs>
      <w:rPr>
        <w:b/>
        <w:sz w:val="16"/>
      </w:rPr>
    </w:pPr>
    <w:r>
      <w:rPr>
        <w:b/>
        <w:sz w:val="16"/>
      </w:rPr>
      <w:t>Enron Investment Partners, etal.</w:t>
    </w:r>
  </w:p>
  <w:p>
    <w:pPr>
      <w:pStyle w:val="Footer"/>
      <w:tabs>
        <w:tab w:val="clear" w:pos="4320"/>
        <w:tab w:val="clear" w:pos="8640"/>
      </w:tabs>
      <w:rPr>
        <w:b/>
        <w:sz w:val="16"/>
      </w:rPr>
    </w:pPr>
    <w:r>
      <w:rPr>
        <w:b/>
        <w:sz w:val="16"/>
      </w:rPr>
      <w:t>Intrust USA, Ltd/James Mingey</w:t>
    </w:r>
  </w:p>
  <w:p>
    <w:pPr>
      <w:pStyle w:val="Header"/>
      <w:rPr>
        <w:b/>
        <w:sz w:val="16"/>
      </w:rPr>
    </w:pPr>
    <w:r>
      <w:rPr>
        <w:b/>
        <w:sz w:val="16"/>
      </w:rPr>
      <w:t>September 14, 2000</w:t>
    </w:r>
  </w:p>
  <w:p>
    <w:pPr>
      <w:pStyle w:val="Header"/>
      <w:rPr>
        <w:b/>
        <w:sz w:val="16"/>
      </w:rPr>
    </w:pPr>
    <w:r>
      <w:rPr>
        <w:b/>
        <w:sz w:val="16"/>
      </w:rPr>
      <w:t>Page 2 of 2</w:t>
    </w:r>
  </w:p>
  <w:p>
    <w:pPr>
      <w:pStyle w:val="Header"/>
      <w:rPr>
        <w:b/>
        <w:sz w:val="16"/>
      </w:rPr>
    </w:pPr>
    <w:r>
      <w:rPr>
        <w:b/>
        <w:sz w:val="16"/>
      </w:rPr>
    </w:r>
  </w:p>
  <w:p>
    <w:pPr>
      <w:pStyle w:val="Header"/>
      <w:rPr>
        <w:sz w:val="16"/>
      </w:rPr>
    </w:pPr>
    <w:r>
      <w:rPr>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540"/>
      </w:pPr>
      <w:rPr/>
    </w:lvl>
  </w:abstractNum>
  <w:abstractNum w:abstractNumId="3">
    <w:lvl w:ilvl="0">
      <w:start w:val="1"/>
      <w:numFmt w:val="upperLetter"/>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jc w:val="center"/>
      <w:outlineLvl w:val="0"/>
    </w:pPr>
    <w:rPr>
      <w:b/>
      <w:i/>
      <w:sz w:val="16"/>
    </w:rPr>
  </w:style>
  <w:style w:type="paragraph" w:styleId="Heading2">
    <w:name w:val="heading 2"/>
    <w:basedOn w:val="Normal"/>
    <w:next w:val="Normal"/>
    <w:qFormat/>
    <w:pPr>
      <w:keepNext w:val="true"/>
      <w:numPr>
        <w:ilvl w:val="1"/>
        <w:numId w:val="1"/>
      </w:numPr>
      <w:tabs>
        <w:tab w:val="clear" w:pos="540"/>
        <w:tab w:val="left" w:pos="522" w:leader="none"/>
      </w:tabs>
      <w:outlineLvl w:val="1"/>
    </w:pPr>
    <w:rPr>
      <w:i/>
      <w:sz w:val="1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hanging="0" w:start="-18" w:end="0"/>
      <w:jc w:val="center"/>
    </w:pPr>
    <w:rPr/>
  </w:style>
  <w:style w:type="paragraph" w:styleId="Subtitle">
    <w:name w:val="Subtitle"/>
    <w:basedOn w:val="Normal"/>
    <w:next w:val="BodyText"/>
    <w:qFormat/>
    <w:pPr>
      <w:tabs>
        <w:tab w:val="clear" w:pos="540"/>
      </w:tabs>
      <w:jc w:val="center"/>
    </w:pPr>
    <w:rPr>
      <w:b/>
      <w:sz w:val="32"/>
    </w:rPr>
  </w:style>
  <w:style w:type="paragraph" w:styleId="BodyTextIndent2">
    <w:name w:val="Body Text Indent 2"/>
    <w:basedOn w:val="Normal"/>
    <w:qFormat/>
    <w:pPr>
      <w:ind w:hanging="540" w:start="540" w:end="0"/>
    </w:pPr>
    <w:rPr/>
  </w:style>
  <w:style w:type="paragraph" w:styleId="BodyTextIndent3">
    <w:name w:val="Body Text Indent 3"/>
    <w:basedOn w:val="Normal"/>
    <w:qFormat/>
    <w:pPr>
      <w:tabs>
        <w:tab w:val="left" w:pos="540" w:leader="none"/>
        <w:tab w:val="left" w:pos="900" w:leader="none"/>
      </w:tabs>
      <w:ind w:hanging="900" w:start="9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2000-09-13T17:35:00Z</dcterms:created>
  <dc:creator>Laura E. Hogan</dc:creator>
  <dc:description/>
  <dc:language>en-CA</dc:language>
  <cp:lastModifiedBy>Rob Cole</cp:lastModifiedBy>
  <cp:lastPrinted>2000-09-14T09:10:00Z</cp:lastPrinted>
  <dcterms:modified xsi:type="dcterms:W3CDTF">2000-09-14T11:41:00Z</dcterms:modified>
  <cp:revision>27</cp:revision>
  <dc:subject/>
  <dc:title> 	</dc:title>
</cp:coreProperties>
</file>