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MEMORANDUM</w:t>
      </w:r>
    </w:p>
    <w:p>
      <w:pPr>
        <w:pStyle w:val="Normal"/>
        <w:rPr>
          <w:b/>
          <w:sz w:val="28"/>
          <w:u w:val="single"/>
        </w:rPr>
      </w:pPr>
      <w:r>
        <w:rPr>
          <w:b/>
          <w:sz w:val="28"/>
          <w:u w:val="single"/>
        </w:rPr>
      </w:r>
    </w:p>
    <w:p>
      <w:pPr>
        <w:pStyle w:val="Normal"/>
        <w:rPr>
          <w:u w:val="single"/>
        </w:rPr>
      </w:pPr>
      <w:r>
        <w:rPr>
          <w:u w:val="single"/>
        </w:rPr>
      </w:r>
    </w:p>
    <w:tbl>
      <w:tblPr>
        <w:tblW w:w="9540" w:type="dxa"/>
        <w:jc w:val="start"/>
        <w:tblInd w:w="54" w:type="dxa"/>
        <w:tblLayout w:type="fixed"/>
        <w:tblCellMar>
          <w:top w:w="0" w:type="dxa"/>
          <w:start w:w="144" w:type="dxa"/>
          <w:bottom w:w="0" w:type="dxa"/>
          <w:end w:w="144" w:type="dxa"/>
        </w:tblCellMar>
      </w:tblPr>
      <w:tblGrid>
        <w:gridCol w:w="1260"/>
        <w:gridCol w:w="4320"/>
        <w:gridCol w:w="3960"/>
      </w:tblGrid>
      <w:tr>
        <w:trPr/>
        <w:tc>
          <w:tcPr>
            <w:tcW w:w="1260" w:type="dxa"/>
            <w:tcBorders/>
          </w:tcPr>
          <w:p>
            <w:pPr>
              <w:pStyle w:val="Normal"/>
              <w:spacing w:before="0" w:after="240"/>
              <w:ind w:end="-33"/>
              <w:jc w:val="end"/>
              <w:rPr/>
            </w:pPr>
            <w:bookmarkStart w:id="0" w:name="DeliveryType"/>
            <w:bookmarkEnd w:id="0"/>
            <w:r>
              <w:rPr/>
              <w:t>TO:</w:t>
            </w:r>
          </w:p>
        </w:tc>
        <w:tc>
          <w:tcPr>
            <w:tcW w:w="4320" w:type="dxa"/>
            <w:tcBorders/>
          </w:tcPr>
          <w:p>
            <w:pPr>
              <w:pStyle w:val="RecipientName"/>
              <w:rPr/>
            </w:pPr>
            <w:bookmarkStart w:id="1" w:name="RecipientName"/>
            <w:bookmarkEnd w:id="1"/>
            <w:r>
              <w:rPr/>
              <w:t>Kay Mann</w:t>
            </w:r>
          </w:p>
          <w:p>
            <w:pPr>
              <w:pStyle w:val="RecipientName"/>
              <w:rPr/>
            </w:pPr>
            <w:r>
              <w:rPr/>
              <w:t>Enron North America Corp.</w:t>
            </w:r>
          </w:p>
          <w:p>
            <w:pPr>
              <w:pStyle w:val="Normal"/>
              <w:rPr/>
            </w:pPr>
            <w:r>
              <w:rPr/>
            </w:r>
          </w:p>
        </w:tc>
        <w:tc>
          <w:tcPr>
            <w:tcW w:w="3960" w:type="dxa"/>
            <w:vMerge w:val="restart"/>
            <w:tcBorders/>
          </w:tcPr>
          <w:p>
            <w:pPr>
              <w:pStyle w:val="Normal"/>
              <w:snapToGrid w:val="false"/>
              <w:rPr/>
            </w:pPr>
            <w:r>
              <w:rPr/>
            </w:r>
            <w:bookmarkStart w:id="2" w:name="Disclaimer"/>
            <w:bookmarkStart w:id="3" w:name="Disclaimer"/>
            <w:bookmarkEnd w:id="3"/>
          </w:p>
        </w:tc>
      </w:tr>
      <w:tr>
        <w:trPr/>
        <w:tc>
          <w:tcPr>
            <w:tcW w:w="1260" w:type="dxa"/>
            <w:tcBorders/>
          </w:tcPr>
          <w:p>
            <w:pPr>
              <w:pStyle w:val="Normal"/>
              <w:spacing w:before="0" w:after="240"/>
              <w:ind w:end="-33"/>
              <w:jc w:val="end"/>
              <w:rPr/>
            </w:pPr>
            <w:r>
              <w:rPr/>
              <w:t>FROM:</w:t>
            </w:r>
          </w:p>
        </w:tc>
        <w:tc>
          <w:tcPr>
            <w:tcW w:w="4320" w:type="dxa"/>
            <w:tcBorders/>
          </w:tcPr>
          <w:p>
            <w:pPr>
              <w:pStyle w:val="Normal"/>
              <w:rPr/>
            </w:pPr>
            <w:bookmarkStart w:id="4" w:name="SenderName"/>
            <w:bookmarkEnd w:id="4"/>
            <w:r>
              <w:rPr/>
              <w:t>Kevin D. Keenan</w:t>
            </w:r>
          </w:p>
          <w:p>
            <w:pPr>
              <w:pStyle w:val="Normal"/>
              <w:rPr/>
            </w:pPr>
            <w:r>
              <w:rPr/>
            </w:r>
          </w:p>
        </w:tc>
        <w:tc>
          <w:tcPr>
            <w:tcW w:w="3960" w:type="dxa"/>
            <w:vMerge w:val="continue"/>
            <w:tcBorders/>
          </w:tcPr>
          <w:p>
            <w:pPr>
              <w:pStyle w:val="Normal"/>
              <w:snapToGrid w:val="false"/>
              <w:ind w:start="-273" w:end="0"/>
              <w:rPr/>
            </w:pPr>
            <w:r>
              <w:rPr/>
            </w:r>
          </w:p>
        </w:tc>
      </w:tr>
      <w:tr>
        <w:trPr/>
        <w:tc>
          <w:tcPr>
            <w:tcW w:w="1260" w:type="dxa"/>
            <w:tcBorders/>
          </w:tcPr>
          <w:p>
            <w:pPr>
              <w:pStyle w:val="Normal"/>
              <w:spacing w:before="0" w:after="240"/>
              <w:ind w:end="-33"/>
              <w:jc w:val="end"/>
              <w:rPr>
                <w:spacing w:val="10"/>
              </w:rPr>
            </w:pPr>
            <w:r>
              <w:rPr>
                <w:spacing w:val="10"/>
              </w:rPr>
              <w:t>DATE:</w:t>
            </w:r>
          </w:p>
        </w:tc>
        <w:tc>
          <w:tcPr>
            <w:tcW w:w="4320" w:type="dxa"/>
            <w:tcBorders/>
          </w:tcPr>
          <w:p>
            <w:pPr>
              <w:pStyle w:val="MemoDate"/>
              <w:rPr/>
            </w:pPr>
            <w:bookmarkStart w:id="5" w:name="Date"/>
            <w:bookmarkEnd w:id="5"/>
            <w:r>
              <w:rPr/>
              <w:t>August 25, 2000</w:t>
            </w:r>
          </w:p>
        </w:tc>
        <w:tc>
          <w:tcPr>
            <w:tcW w:w="3960" w:type="dxa"/>
            <w:vMerge w:val="continue"/>
            <w:tcBorders/>
          </w:tcPr>
          <w:p>
            <w:pPr>
              <w:pStyle w:val="Normal"/>
              <w:snapToGrid w:val="false"/>
              <w:ind w:start="-273" w:end="0"/>
              <w:rPr/>
            </w:pPr>
            <w:r>
              <w:rPr/>
            </w:r>
          </w:p>
        </w:tc>
      </w:tr>
      <w:tr>
        <w:trPr/>
        <w:tc>
          <w:tcPr>
            <w:tcW w:w="1260" w:type="dxa"/>
            <w:tcBorders>
              <w:bottom w:val="single" w:sz="18" w:space="0" w:color="000000"/>
            </w:tcBorders>
          </w:tcPr>
          <w:p>
            <w:pPr>
              <w:pStyle w:val="Normal"/>
              <w:spacing w:before="0" w:after="240"/>
              <w:ind w:end="-33"/>
              <w:jc w:val="end"/>
              <w:rPr/>
            </w:pPr>
            <w:r>
              <w:rPr/>
              <w:t>RE:</w:t>
            </w:r>
          </w:p>
        </w:tc>
        <w:tc>
          <w:tcPr>
            <w:tcW w:w="8280" w:type="dxa"/>
            <w:gridSpan w:val="2"/>
            <w:tcBorders>
              <w:bottom w:val="single" w:sz="18" w:space="0" w:color="000000"/>
            </w:tcBorders>
          </w:tcPr>
          <w:p>
            <w:pPr>
              <w:pStyle w:val="Normal"/>
              <w:spacing w:before="0" w:after="240"/>
              <w:rPr/>
            </w:pPr>
            <w:bookmarkStart w:id="6" w:name="Re"/>
            <w:bookmarkEnd w:id="6"/>
            <w:r>
              <w:rPr/>
              <w:t>Status of Consignment Sales Agreement and Related Transaction Documents</w:t>
            </w:r>
          </w:p>
        </w:tc>
      </w:tr>
    </w:tbl>
    <w:p>
      <w:pPr>
        <w:pStyle w:val="Normal"/>
        <w:jc w:val="both"/>
        <w:rPr/>
      </w:pPr>
      <w:r>
        <w:rPr/>
      </w:r>
    </w:p>
    <w:p>
      <w:pPr>
        <w:pStyle w:val="Normal"/>
        <w:jc w:val="both"/>
        <w:rPr/>
      </w:pPr>
      <w:bookmarkStart w:id="7" w:name="CC"/>
      <w:bookmarkStart w:id="8" w:name="StartHere"/>
      <w:bookmarkEnd w:id="7"/>
      <w:bookmarkEnd w:id="8"/>
      <w:r>
        <w:rPr/>
        <w:tab/>
        <w:t>John Keffer forwarded to me your request that we again pick up the ball on this transaction.  I am happy to do so and delighted that the pieces have fallen into place allowing Enron to go forward.  Toward that end, this memorandum discusses (i) the status of the documents prepared in connection with the transaction and (ii) the actions which need to be taken to consummate the deal.</w:t>
      </w:r>
    </w:p>
    <w:p>
      <w:pPr>
        <w:pStyle w:val="Normal"/>
        <w:jc w:val="both"/>
        <w:rPr/>
      </w:pPr>
      <w:r>
        <w:rPr/>
      </w:r>
    </w:p>
    <w:p>
      <w:pPr>
        <w:pStyle w:val="Normal"/>
        <w:jc w:val="center"/>
        <w:rPr>
          <w:b/>
        </w:rPr>
      </w:pPr>
      <w:r>
        <w:rPr>
          <w:b/>
        </w:rPr>
        <w:t>I.  Document Status</w:t>
      </w:r>
    </w:p>
    <w:p>
      <w:pPr>
        <w:pStyle w:val="Normal"/>
        <w:jc w:val="center"/>
        <w:rPr>
          <w:b/>
        </w:rPr>
      </w:pPr>
      <w:r>
        <w:rPr>
          <w:b/>
        </w:rPr>
      </w:r>
    </w:p>
    <w:p>
      <w:pPr>
        <w:pStyle w:val="Normal"/>
        <w:jc w:val="both"/>
        <w:rPr/>
      </w:pPr>
      <w:r>
        <w:rPr>
          <w:b/>
        </w:rPr>
        <w:t>A.</w:t>
        <w:tab/>
      </w:r>
      <w:r>
        <w:rPr>
          <w:b/>
          <w:u w:val="single"/>
        </w:rPr>
        <w:t>Consignment Sales Agreement</w:t>
      </w:r>
      <w:r>
        <w:rPr/>
        <w:t>.</w:t>
      </w:r>
    </w:p>
    <w:p>
      <w:pPr>
        <w:pStyle w:val="Normal"/>
        <w:jc w:val="both"/>
        <w:rPr/>
      </w:pPr>
      <w:r>
        <w:rPr/>
      </w:r>
    </w:p>
    <w:p>
      <w:pPr>
        <w:pStyle w:val="Normal"/>
        <w:jc w:val="both"/>
        <w:rPr/>
      </w:pPr>
      <w:r>
        <w:rPr/>
        <w:tab/>
        <w:t>I attach herewith for your review a copy of the Consignment Sales Agreement (the “</w:t>
      </w:r>
      <w:r>
        <w:rPr>
          <w:i/>
        </w:rPr>
        <w:t>Agreement</w:t>
      </w:r>
      <w:r>
        <w:rPr/>
        <w:t>”) which has undergone a few changes since the first time we sent a rough draft to you and Mr. Hoppe on July 20, 2000.  For your convenience, I also attach a redlined version comparing today’s draft with the July 20 draft.  As you will note, there remain several blanks in the document which will need to be filled in prior to execution, including the (i) jurisdiction of incorporation for Wheeling Pittsburgh Steel Corporation (“</w:t>
      </w:r>
      <w:r>
        <w:rPr>
          <w:i/>
        </w:rPr>
        <w:t>Wheeling</w:t>
      </w:r>
      <w:r>
        <w:rPr/>
        <w:t>”), (ii) location of the Warehouse in Section 1, (iii) persons authorized to sign material receipts on behalf of Wheeling in Section 1, (iv) insurance minimums in Section 4(b), (v) payment terms in Section 5, (vi) site of any arbitration in Section 19, and (vii) preferred contact information in Section 29.</w:t>
      </w:r>
    </w:p>
    <w:p>
      <w:pPr>
        <w:pStyle w:val="Normal"/>
        <w:jc w:val="both"/>
        <w:rPr/>
      </w:pPr>
      <w:r>
        <w:rPr/>
      </w:r>
    </w:p>
    <w:p>
      <w:pPr>
        <w:pStyle w:val="Normal"/>
        <w:jc w:val="both"/>
        <w:rPr/>
      </w:pPr>
      <w:r>
        <w:rPr/>
        <w:tab/>
        <w:t>In addition, several substantive issues remain to be discussed before a first draft is sent to Wheeling.  In particular:</w:t>
      </w:r>
    </w:p>
    <w:p>
      <w:pPr>
        <w:pStyle w:val="Normal"/>
        <w:jc w:val="both"/>
        <w:rPr/>
      </w:pPr>
      <w:r>
        <w:rPr/>
      </w:r>
    </w:p>
    <w:p>
      <w:pPr>
        <w:pStyle w:val="Normal"/>
        <w:jc w:val="both"/>
        <w:rPr/>
      </w:pPr>
      <w:r>
        <w:rPr>
          <w:color w:val="000000"/>
        </w:rPr>
        <w:tab/>
        <w:t>(1)</w:t>
        <w:tab/>
      </w:r>
      <w:r>
        <w:rPr>
          <w:color w:val="000000"/>
          <w:u w:val="single"/>
        </w:rPr>
        <w:t>Termination</w:t>
      </w:r>
      <w:r>
        <w:rPr>
          <w:color w:val="000000"/>
        </w:rPr>
        <w:t xml:space="preserve"> - as now drafted, there is no termination right except after each year (Section 11) and upon the happening of specified events (Section 12), none of which include the breach of an obligation to purchase the steel (which obligation isn’t yet found in the document either - </w:t>
      </w:r>
      <w:r>
        <w:rPr>
          <w:color w:val="000000"/>
          <w:u w:val="single"/>
        </w:rPr>
        <w:t>see</w:t>
      </w:r>
      <w:r>
        <w:rPr>
          <w:color w:val="000000"/>
        </w:rPr>
        <w:t xml:space="preserve"> (2) below);</w:t>
      </w:r>
    </w:p>
    <w:p>
      <w:pPr>
        <w:pStyle w:val="Normal"/>
        <w:jc w:val="both"/>
        <w:rPr>
          <w:color w:val="000000"/>
        </w:rPr>
      </w:pPr>
      <w:r>
        <w:rPr>
          <w:color w:val="000000"/>
        </w:rPr>
      </w:r>
    </w:p>
    <w:p>
      <w:pPr>
        <w:pStyle w:val="Normal"/>
        <w:jc w:val="both"/>
        <w:rPr/>
      </w:pPr>
      <w:r>
        <w:rPr>
          <w:color w:val="000000"/>
        </w:rPr>
        <w:tab/>
        <w:t>(2)</w:t>
        <w:tab/>
      </w:r>
      <w:r>
        <w:rPr>
          <w:color w:val="000000"/>
          <w:u w:val="single"/>
        </w:rPr>
        <w:t>Obligation to Purchase Steel</w:t>
      </w:r>
      <w:r>
        <w:rPr>
          <w:color w:val="000000"/>
        </w:rPr>
        <w:t xml:space="preserve"> - there is no such obligation now in the Agreement, which allows the possibility that the steel could sit on Wheeling’s docks for an entire year before Enron would have the right to terminate and regain possession;</w:t>
      </w:r>
    </w:p>
    <w:p>
      <w:pPr>
        <w:pStyle w:val="Normal"/>
        <w:jc w:val="both"/>
        <w:rPr/>
      </w:pPr>
      <w:r>
        <w:rPr/>
        <w:t xml:space="preserve"> </w:t>
      </w:r>
    </w:p>
    <w:p>
      <w:pPr>
        <w:pStyle w:val="Normal"/>
        <w:jc w:val="both"/>
        <w:rPr/>
      </w:pPr>
      <w:r>
        <w:rPr>
          <w:color w:val="000000"/>
        </w:rPr>
        <w:tab/>
        <w:t>(3)</w:t>
        <w:tab/>
      </w:r>
      <w:r>
        <w:rPr>
          <w:color w:val="000000"/>
          <w:u w:val="single"/>
        </w:rPr>
        <w:t>Partial Repossession During Agreement Term</w:t>
      </w:r>
      <w:r>
        <w:rPr>
          <w:color w:val="000000"/>
        </w:rPr>
        <w:t xml:space="preserve"> - there is no provision for the case where Enron might want to take back some (but not all) of the steel prior to the expiration or termination of the Agreement;</w:t>
      </w:r>
    </w:p>
    <w:p>
      <w:pPr>
        <w:pStyle w:val="Normal"/>
        <w:jc w:val="both"/>
        <w:rPr>
          <w:color w:val="000000"/>
        </w:rPr>
      </w:pPr>
      <w:r>
        <w:rPr>
          <w:color w:val="000000"/>
        </w:rPr>
      </w:r>
    </w:p>
    <w:p>
      <w:pPr>
        <w:pStyle w:val="Normal"/>
        <w:jc w:val="both"/>
        <w:rPr/>
      </w:pPr>
      <w:r>
        <w:rPr>
          <w:color w:val="000000"/>
        </w:rPr>
        <w:tab/>
        <w:t>(4)</w:t>
        <w:tab/>
      </w:r>
      <w:r>
        <w:rPr>
          <w:color w:val="000000"/>
          <w:u w:val="single"/>
        </w:rPr>
        <w:t>Payment Terms and Use of Proceeds</w:t>
      </w:r>
      <w:r>
        <w:rPr>
          <w:color w:val="000000"/>
        </w:rPr>
        <w:t xml:space="preserve"> - if payment terms will not be cash up front, then “use of proceeds” and “segregation of funds” provisions are appropriate to ensure Wheeling does not purchase the steel from Enron on extended payment terms, sell to a third party, and then commit the proceeds elsewhere or have the proceeds become subject to another party’s security interest (I’ve added language at Sections 15 and 16 dealing with this issue on the assumption that delayed payment terms will be the preferred approach); and</w:t>
      </w:r>
    </w:p>
    <w:p>
      <w:pPr>
        <w:pStyle w:val="Normal"/>
        <w:jc w:val="both"/>
        <w:rPr>
          <w:color w:val="000000"/>
        </w:rPr>
      </w:pPr>
      <w:r>
        <w:rPr>
          <w:color w:val="000000"/>
        </w:rPr>
      </w:r>
    </w:p>
    <w:p>
      <w:pPr>
        <w:pStyle w:val="Normal"/>
        <w:jc w:val="both"/>
        <w:rPr/>
      </w:pPr>
      <w:r>
        <w:rPr>
          <w:color w:val="000000"/>
        </w:rPr>
        <w:tab/>
        <w:t>(5)</w:t>
        <w:tab/>
      </w:r>
      <w:r>
        <w:rPr>
          <w:color w:val="000000"/>
          <w:u w:val="single"/>
        </w:rPr>
        <w:t>Price for Steel</w:t>
      </w:r>
      <w:r>
        <w:rPr>
          <w:color w:val="000000"/>
        </w:rPr>
        <w:t xml:space="preserve"> - what price will Wheeling pay for the steel?</w:t>
      </w:r>
    </w:p>
    <w:p>
      <w:pPr>
        <w:pStyle w:val="Normal"/>
        <w:jc w:val="both"/>
        <w:rPr/>
      </w:pPr>
      <w:r>
        <w:rPr/>
        <w:tab/>
      </w:r>
    </w:p>
    <w:p>
      <w:pPr>
        <w:pStyle w:val="Normal"/>
        <w:jc w:val="both"/>
        <w:rPr/>
      </w:pPr>
      <w:r>
        <w:rPr>
          <w:b/>
        </w:rPr>
        <w:t>B.</w:t>
        <w:tab/>
      </w:r>
      <w:r>
        <w:rPr>
          <w:b/>
          <w:u w:val="single"/>
        </w:rPr>
        <w:t>UCC-1 Financing Statements</w:t>
      </w:r>
      <w:r>
        <w:rPr/>
        <w:t>.</w:t>
      </w:r>
    </w:p>
    <w:p>
      <w:pPr>
        <w:pStyle w:val="Normal"/>
        <w:jc w:val="both"/>
        <w:rPr/>
      </w:pPr>
      <w:r>
        <w:rPr/>
      </w:r>
    </w:p>
    <w:p>
      <w:pPr>
        <w:pStyle w:val="Normal"/>
        <w:jc w:val="both"/>
        <w:rPr/>
      </w:pPr>
      <w:r>
        <w:rPr/>
        <w:tab/>
        <w:t>We are prepared to fill out and file, on Enron’s behalf, UCC-1 Financing Statements perfecting a security interest in the consigned steel.  Because the steel is already in Wheeling’s possession, however, such financing statements will need to be filed in conjunction with the consents to be obtained from Wheeling’s creditors holding security interests in like-kind goods (i.e. steel).  These consents are discussed more fully under heading C. below.</w:t>
      </w:r>
    </w:p>
    <w:p>
      <w:pPr>
        <w:pStyle w:val="Normal"/>
        <w:jc w:val="both"/>
        <w:rPr/>
      </w:pPr>
      <w:r>
        <w:rPr/>
      </w:r>
    </w:p>
    <w:p>
      <w:pPr>
        <w:pStyle w:val="Normal"/>
        <w:jc w:val="both"/>
        <w:rPr/>
      </w:pPr>
      <w:r>
        <w:rPr>
          <w:b/>
        </w:rPr>
        <w:t>C.</w:t>
        <w:tab/>
      </w:r>
      <w:r>
        <w:rPr>
          <w:b/>
          <w:u w:val="single"/>
        </w:rPr>
        <w:t>Consents from Senior Secured Creditors</w:t>
      </w:r>
      <w:r>
        <w:rPr/>
        <w:t>.</w:t>
      </w:r>
    </w:p>
    <w:p>
      <w:pPr>
        <w:pStyle w:val="Normal"/>
        <w:jc w:val="both"/>
        <w:rPr/>
      </w:pPr>
      <w:r>
        <w:rPr/>
      </w:r>
    </w:p>
    <w:p>
      <w:pPr>
        <w:pStyle w:val="Normal"/>
        <w:jc w:val="both"/>
        <w:rPr/>
      </w:pPr>
      <w:r>
        <w:rPr/>
        <w:tab/>
        <w:t xml:space="preserve">Pennsylvania’s Uniform Commercial Code provides that Enron (as consignor) will have priority over secured creditors of Wheeling (as consignee) who otherwise would have held prior security interests had Wheeling owned the goods consigned so long as Enron files its financing statement “before [Wheeling] receives possession of the goods.”  13 Pa. C.S.A. § 9114 (West 2000).  Because Wheeling already has possession of the steel, filing a financing statement would not afford Enron priority over Wheeling’s creditors holding security interests in goods similar to the steel Enron proposes to consign.  Thus, the consent of those creditors of Wheeling having security interests in like-kind goods is required to ensure Enron will be afforded senior secured status.  </w:t>
      </w:r>
    </w:p>
    <w:p>
      <w:pPr>
        <w:pStyle w:val="Normal"/>
        <w:jc w:val="both"/>
        <w:rPr/>
      </w:pPr>
      <w:r>
        <w:rPr/>
      </w:r>
    </w:p>
    <w:p>
      <w:pPr>
        <w:pStyle w:val="Normal"/>
        <w:jc w:val="both"/>
        <w:rPr/>
      </w:pPr>
      <w:r>
        <w:rPr/>
        <w:tab/>
        <w:t>Toward that end, I have prepared a form of consent and have attached it for your review.  You will note that I have also added a provision to the Agreement, at Section 18, (i) making the entire deal contingent upon Wheeling’s obtaining such consents and (ii) giving Enron the right to unwind the deal, even after execution, should such consents not be obtained to Enron’s satisfaction.</w:t>
      </w:r>
    </w:p>
    <w:p>
      <w:pPr>
        <w:pStyle w:val="Normal"/>
        <w:jc w:val="both"/>
        <w:rPr/>
      </w:pPr>
      <w:r>
        <w:rPr/>
      </w:r>
    </w:p>
    <w:p>
      <w:pPr>
        <w:pStyle w:val="Normal"/>
        <w:jc w:val="center"/>
        <w:rPr>
          <w:b/>
        </w:rPr>
      </w:pPr>
      <w:r>
        <w:rPr>
          <w:b/>
        </w:rPr>
        <w:t>II.  Action List</w:t>
      </w:r>
    </w:p>
    <w:p>
      <w:pPr>
        <w:pStyle w:val="Normal"/>
        <w:jc w:val="both"/>
        <w:rPr>
          <w:b/>
        </w:rPr>
      </w:pPr>
      <w:r>
        <w:rPr>
          <w:b/>
        </w:rPr>
      </w:r>
    </w:p>
    <w:p>
      <w:pPr>
        <w:pStyle w:val="Normal"/>
        <w:jc w:val="both"/>
        <w:rPr/>
      </w:pPr>
      <w:r>
        <w:rPr/>
        <w:tab/>
        <w:t>Following is a list of the actions which need to be taken to consummate the transaction, roughly in the order they need to be performed:</w:t>
      </w:r>
    </w:p>
    <w:p>
      <w:pPr>
        <w:pStyle w:val="Normal"/>
        <w:jc w:val="both"/>
        <w:rPr/>
      </w:pPr>
      <w:r>
        <w:rPr/>
      </w:r>
    </w:p>
    <w:p>
      <w:pPr>
        <w:pStyle w:val="Normal"/>
        <w:numPr>
          <w:ilvl w:val="0"/>
          <w:numId w:val="2"/>
        </w:numPr>
        <w:tabs>
          <w:tab w:val="clear" w:pos="720"/>
          <w:tab w:val="left" w:pos="1440" w:leader="none"/>
        </w:tabs>
        <w:ind w:hanging="720" w:start="1440" w:end="0"/>
        <w:jc w:val="both"/>
        <w:rPr>
          <w:b/>
        </w:rPr>
      </w:pPr>
      <w:r>
        <w:rPr/>
        <w:t>Finalize the Agreement and present first draft to Wheeling;</w:t>
      </w:r>
    </w:p>
    <w:p>
      <w:pPr>
        <w:pStyle w:val="Normal"/>
        <w:numPr>
          <w:ilvl w:val="0"/>
          <w:numId w:val="2"/>
        </w:numPr>
        <w:tabs>
          <w:tab w:val="clear" w:pos="720"/>
          <w:tab w:val="left" w:pos="1440" w:leader="none"/>
        </w:tabs>
        <w:ind w:hanging="720" w:start="1440" w:end="0"/>
        <w:jc w:val="both"/>
        <w:rPr/>
      </w:pPr>
      <w:r>
        <w:rPr/>
        <w:t>Have Wheeling obtain consents from (i) Citibank, N.A. and (ii) Ohio Valley Industrial &amp; Business Development Corporation</w:t>
      </w:r>
      <w:r>
        <w:rPr>
          <w:rStyle w:val="FootnoteCharacters"/>
          <w:rStyle w:val="FootnoteReference"/>
        </w:rPr>
        <w:footnoteReference w:id="2"/>
      </w:r>
      <w:r>
        <w:rPr/>
        <w:t xml:space="preserve"> on the form of consent attached hereto;</w:t>
      </w:r>
    </w:p>
    <w:p>
      <w:pPr>
        <w:pStyle w:val="Normal"/>
        <w:jc w:val="both"/>
        <w:rPr/>
      </w:pPr>
      <w:r>
        <w:rPr/>
      </w:r>
    </w:p>
    <w:p>
      <w:pPr>
        <w:pStyle w:val="Normal"/>
        <w:numPr>
          <w:ilvl w:val="0"/>
          <w:numId w:val="2"/>
        </w:numPr>
        <w:tabs>
          <w:tab w:val="clear" w:pos="720"/>
          <w:tab w:val="left" w:pos="1440" w:leader="none"/>
        </w:tabs>
        <w:ind w:hanging="720" w:start="1440" w:end="0"/>
        <w:jc w:val="both"/>
        <w:rPr/>
      </w:pPr>
      <w:r>
        <w:rPr/>
        <w:t>Agree on final terms of the Agreement;</w:t>
      </w:r>
    </w:p>
    <w:p>
      <w:pPr>
        <w:pStyle w:val="Normal"/>
        <w:jc w:val="both"/>
        <w:rPr/>
      </w:pPr>
      <w:r>
        <w:rPr/>
      </w:r>
    </w:p>
    <w:p>
      <w:pPr>
        <w:pStyle w:val="Normal"/>
        <w:numPr>
          <w:ilvl w:val="0"/>
          <w:numId w:val="2"/>
        </w:numPr>
        <w:tabs>
          <w:tab w:val="clear" w:pos="720"/>
          <w:tab w:val="left" w:pos="1440" w:leader="none"/>
        </w:tabs>
        <w:ind w:hanging="720" w:start="1440" w:end="0"/>
        <w:jc w:val="both"/>
        <w:rPr/>
      </w:pPr>
      <w:r>
        <w:rPr/>
        <w:t>Obtain from Enron all necessary internal approvals and authorizations for execution and delivery of the Agreement;</w:t>
      </w:r>
    </w:p>
    <w:p>
      <w:pPr>
        <w:pStyle w:val="Normal"/>
        <w:jc w:val="both"/>
        <w:rPr/>
      </w:pPr>
      <w:r>
        <w:rPr/>
      </w:r>
    </w:p>
    <w:p>
      <w:pPr>
        <w:pStyle w:val="Normal"/>
        <w:numPr>
          <w:ilvl w:val="0"/>
          <w:numId w:val="2"/>
        </w:numPr>
        <w:tabs>
          <w:tab w:val="clear" w:pos="720"/>
          <w:tab w:val="left" w:pos="1440" w:leader="none"/>
        </w:tabs>
        <w:ind w:hanging="720" w:start="1440" w:end="0"/>
        <w:jc w:val="both"/>
        <w:rPr/>
      </w:pPr>
      <w:r>
        <w:rPr/>
        <w:t>Execute the Agreement and two (2) UCC-1 Financing Statements in respect of the consigned steel;</w:t>
      </w:r>
    </w:p>
    <w:p>
      <w:pPr>
        <w:pStyle w:val="Normal"/>
        <w:jc w:val="both"/>
        <w:rPr/>
      </w:pPr>
      <w:r>
        <w:rPr/>
      </w:r>
    </w:p>
    <w:p>
      <w:pPr>
        <w:pStyle w:val="Normal"/>
        <w:numPr>
          <w:ilvl w:val="0"/>
          <w:numId w:val="2"/>
        </w:numPr>
        <w:tabs>
          <w:tab w:val="clear" w:pos="720"/>
          <w:tab w:val="left" w:pos="1440" w:leader="none"/>
        </w:tabs>
        <w:ind w:hanging="720" w:start="1440" w:end="0"/>
        <w:jc w:val="both"/>
        <w:rPr>
          <w:b/>
        </w:rPr>
      </w:pPr>
      <w:r>
        <w:rPr/>
        <w:t>File UCC-1 Financing Statements (with consents attached) at (i) UCC Division, Pennsylvania Department of State and (ii) UCC Records, Philadelphia County, Pennsylvania.</w:t>
      </w:r>
    </w:p>
    <w:p>
      <w:pPr>
        <w:pStyle w:val="Normal"/>
        <w:jc w:val="both"/>
        <w:rPr>
          <w:b/>
        </w:rPr>
      </w:pPr>
      <w:r>
        <w:rPr>
          <w:b/>
        </w:rPr>
      </w:r>
    </w:p>
    <w:p>
      <w:pPr>
        <w:pStyle w:val="Normal"/>
        <w:jc w:val="both"/>
        <w:rPr/>
      </w:pPr>
      <w:r>
        <w:rPr/>
        <w:tab/>
        <w:t>We are ready to help you with all of these items if you need us.  Please don’t hesitate to call John Keffer or me at your earliest convenience to discuss the items which need to be addressed first with regard to the Agreement.</w:t>
      </w:r>
    </w:p>
    <w:p>
      <w:pPr>
        <w:pStyle w:val="Normal"/>
        <w:jc w:val="both"/>
        <w:rPr/>
      </w:pPr>
      <w:r>
        <w:rPr/>
      </w:r>
    </w:p>
    <w:p>
      <w:pPr>
        <w:pStyle w:val="Normal"/>
        <w:jc w:val="both"/>
        <w:rPr/>
      </w:pPr>
      <w:r>
        <w:rPr/>
      </w:r>
    </w:p>
    <w:p>
      <w:pPr>
        <w:pStyle w:val="Normal"/>
        <w:jc w:val="both"/>
        <w:rPr>
          <w:sz w:val="16"/>
        </w:rPr>
      </w:pPr>
      <w:r>
        <w:rPr>
          <w:sz w:val="16"/>
        </w:rPr>
      </w:r>
    </w:p>
    <w:p>
      <w:pPr>
        <w:pStyle w:val="Normal"/>
        <w:jc w:val="both"/>
        <w:rPr>
          <w:sz w:val="16"/>
        </w:rPr>
      </w:pPr>
      <w:r>
        <w:rPr>
          <w:sz w:val="16"/>
        </w:rPr>
        <w:t>121557.1</w:t>
      </w:r>
    </w:p>
    <w:sectPr>
      <w:headerReference w:type="default" r:id="rId2"/>
      <w:headerReference w:type="first" r:id="rId3"/>
      <w:footnotePr>
        <w:numFmt w:val="decimal"/>
      </w:footnotePr>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0"/>
        </w:rPr>
        <w:t xml:space="preserve"> </w:t>
      </w:r>
      <w:r>
        <w:rPr>
          <w:sz w:val="20"/>
        </w:rPr>
        <w:t>These creditors were identified in UCC searches run on July 6, 2000.  Given the time that has elapsed since then, it will be essential to run another search to determine if any more creditors have security interests in like-kind goods.  I have already ordered that search.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MemoDate">
    <w:name w:val="MemoDate"/>
    <w:basedOn w:val="Normal"/>
    <w:qFormat/>
    <w:pPr/>
    <w:rPr/>
  </w:style>
  <w:style w:type="paragraph" w:styleId="BodyText2">
    <w:name w:val="Body Text2"/>
    <w:basedOn w:val="BodyText"/>
    <w:qFormat/>
    <w:pPr>
      <w:spacing w:lineRule="auto" w:line="48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224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2000-08-24T21:26:00Z</dcterms:created>
  <dc:creator>Kevin Keenan</dc:creator>
  <dc:description/>
  <dc:language>en-CA</dc:language>
  <cp:lastModifiedBy>Kevin Keenan</cp:lastModifiedBy>
  <cp:lastPrinted>1999-02-15T09:57:00Z</cp:lastPrinted>
  <dcterms:modified xsi:type="dcterms:W3CDTF">2000-08-25T04:37:00Z</dcterms:modified>
  <cp:revision>8</cp:revision>
  <dc:subject/>
  <dc:title/>
</cp:coreProperties>
</file>