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360"/>
          <w:tab w:val="left" w:pos="1800" w:leader="none"/>
        </w:tabs>
        <w:bidi w:val="0"/>
        <w:ind w:hanging="1800" w:start="1800"/>
        <w:jc w:val="start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Craig Chancellor</w:t>
      </w:r>
    </w:p>
    <w:p>
      <w:pPr>
        <w:pStyle w:val="Normal"/>
        <w:tabs>
          <w:tab w:val="clear" w:pos="36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From:</w:t>
      </w:r>
      <w:r>
        <w:rPr>
          <w:rFonts w:ascii="Arial" w:hAnsi="Arial"/>
          <w:b w:val="false"/>
          <w:color w:val="000000"/>
          <w:sz w:val="20"/>
        </w:rPr>
        <w:tab/>
        <w:t>Hall, Rich [RCH8@pge.com]</w:t>
      </w:r>
    </w:p>
    <w:p>
      <w:pPr>
        <w:pStyle w:val="Normal"/>
        <w:tabs>
          <w:tab w:val="clear" w:pos="36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Sent:</w:t>
      </w:r>
      <w:r>
        <w:rPr>
          <w:rFonts w:ascii="Arial" w:hAnsi="Arial"/>
          <w:b w:val="false"/>
          <w:color w:val="000000"/>
          <w:sz w:val="20"/>
        </w:rPr>
        <w:tab/>
        <w:t>Wednesday, April 26, 2000 9:26 AM</w:t>
      </w:r>
    </w:p>
    <w:p>
      <w:pPr>
        <w:pStyle w:val="Normal"/>
        <w:tabs>
          <w:tab w:val="clear" w:pos="36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To:</w:t>
      </w:r>
      <w:r>
        <w:rPr>
          <w:rFonts w:ascii="Arial" w:hAnsi="Arial"/>
          <w:b w:val="false"/>
          <w:color w:val="000000"/>
          <w:sz w:val="20"/>
        </w:rPr>
        <w:tab/>
        <w:t>'Craig Chanceller'</w:t>
      </w:r>
    </w:p>
    <w:p>
      <w:pPr>
        <w:pStyle w:val="Normal"/>
        <w:tabs>
          <w:tab w:val="clear" w:pos="36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Subject:</w:t>
      </w:r>
      <w:r>
        <w:rPr>
          <w:rFonts w:ascii="Arial" w:hAnsi="Arial"/>
          <w:b w:val="false"/>
          <w:color w:val="000000"/>
          <w:sz w:val="20"/>
        </w:rPr>
        <w:tab/>
        <w:t xml:space="preserve">Wheeler Ridge capacity 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Craig -- Attached is a summary of the changes we would like to see in the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SoCal Settlement proposal regarding the receipt point access rights at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Wheeler Ridge.    I believe this is more market responsive, by letting the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 xml:space="preserve">market decide the split of Primary Access Rights at Wheeler Ridge.    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Additionally, we are concerned with the market perception of the relative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values of the two packages, as SoCal has defined them.    The market would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place much greater value on the W.R.-North capacity (becasue of the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secondary market value of the flexibility).    This would be purchased even by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shippers desiring only K-M access; thereby limiting the perception of the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quantity / quality of receipt point capacity access to PG&amp;E and    OXY.    I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would be happy to discuss this further.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Please feel free to share any comments you have with SoCal and other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parties.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 xml:space="preserve"> </w:t>
      </w:r>
      <w:r>
        <w:rPr>
          <w:rFonts w:ascii="Arial" w:hAnsi="Arial"/>
          <w:b w:val="false"/>
          <w:color w:val="000000"/>
          <w:sz w:val="20"/>
        </w:rPr>
        <w:t xml:space="preserve">&lt;&lt;Firm Primary and Secondary Receipt Point Access Rights&gt;&gt; 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Rich Hall</w:t>
      </w:r>
    </w:p>
    <w:p>
      <w:pPr>
        <w:pStyle w:val="Normal"/>
        <w:bidi w:val="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  <w:t>415-972-5115</w:t>
      </w:r>
    </w:p>
    <w:p>
      <w:pPr>
        <w:pStyle w:val="Normal"/>
        <w:tabs>
          <w:tab w:val="clear" w:pos="36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36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