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152"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Arial" w:hAnsi="Arial" w:cs="Arial"/>
          <w:b/>
          <w:sz w:val="36"/>
        </w:rPr>
      </w:pPr>
      <w:r>
        <w:rPr>
          <w:rFonts w:cs="Arial" w:ascii="Arial" w:hAnsi="Arial"/>
          <w:b/>
          <w:sz w:val="36"/>
        </w:rPr>
        <w:t>WHAT'S NEW?</w:t>
      </w:r>
    </w:p>
    <w:p>
      <w:pPr>
        <w:pStyle w:val="Normal"/>
        <w:tabs>
          <w:tab w:val="left" w:pos="-1152"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Arial" w:hAnsi="Arial" w:cs="Arial"/>
          <w:b/>
          <w:sz w:val="36"/>
        </w:rPr>
      </w:pPr>
      <w:r>
        <w:rPr>
          <w:rFonts w:cs="Arial" w:ascii="Arial" w:hAnsi="Arial"/>
          <w:b/>
          <w:sz w:val="36"/>
        </w:rPr>
        <w:t>in Version 1.7 of the</w:t>
      </w:r>
    </w:p>
    <w:p>
      <w:pPr>
        <w:pStyle w:val="Normal"/>
        <w:tabs>
          <w:tab w:val="left" w:pos="-1152"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Arial" w:hAnsi="Arial" w:cs="Arial"/>
          <w:b/>
          <w:sz w:val="36"/>
        </w:rPr>
      </w:pPr>
      <w:r>
        <w:rPr>
          <w:rFonts w:cs="Arial" w:ascii="Arial" w:hAnsi="Arial"/>
          <w:b/>
          <w:sz w:val="36"/>
        </w:rPr>
        <w:t>NERC TRANSACTION INFORMATION SYSTEM</w:t>
      </w:r>
    </w:p>
    <w:p>
      <w:pPr>
        <w:pStyle w:val="Normal"/>
        <w:tabs>
          <w:tab w:val="left" w:pos="-1152"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Arial" w:hAnsi="Arial" w:cs="Arial"/>
          <w:b/>
          <w:sz w:val="36"/>
        </w:rPr>
      </w:pPr>
      <w:r>
        <w:rPr>
          <w:rFonts w:cs="Arial" w:ascii="Arial" w:hAnsi="Arial"/>
          <w:b/>
          <w:sz w:val="36"/>
        </w:rPr>
        <w:t>(TIS)</w:t>
      </w:r>
    </w:p>
    <w:p>
      <w:pPr>
        <w:pStyle w:val="Heading1"/>
        <w:ind w:hanging="0" w:start="0"/>
        <w:rPr>
          <w:rFonts w:ascii="Arial" w:hAnsi="Arial" w:cs="Arial"/>
          <w:b w:val="false"/>
          <w:sz w:val="36"/>
        </w:rPr>
      </w:pPr>
      <w:r>
        <w:rPr>
          <w:rFonts w:cs="Arial"/>
          <w:b w:val="false"/>
          <w:sz w:val="36"/>
        </w:rPr>
      </w:r>
    </w:p>
    <w:p>
      <w:pPr>
        <w:pStyle w:val="Heading1"/>
        <w:ind w:hanging="0" w:start="0"/>
        <w:rPr/>
      </w:pPr>
      <w:r>
        <w:rPr/>
        <w:t>INTRODUCTION</w:t>
      </w:r>
    </w:p>
    <w:p>
      <w:pPr>
        <w:pStyle w:val="Normal"/>
        <w:rPr/>
      </w:pPr>
      <w:r>
        <w:rPr/>
        <w:t xml:space="preserve">This document is intended to be a primer of the new concepts and changes associated with the development of the Version 1.7 Specification of the Electronic Transaction Information System (TIS), otherwise known as Electronic Tagging. Details associated with the information presented in this document are found in the </w:t>
      </w:r>
      <w:r>
        <w:rPr>
          <w:i/>
        </w:rPr>
        <w:t>Electronic Tagging - Functional Specifications</w:t>
      </w:r>
      <w:r>
        <w:rPr/>
        <w:t xml:space="preserve"> document prepared by the NERC Transaction Information System Working Group (TISWG). This document should be considered a "trailer" for these concepts and the reader is strongly encouraged to thoroughly read the </w:t>
      </w:r>
      <w:r>
        <w:rPr>
          <w:i/>
        </w:rPr>
        <w:t>Electronic Tagging - Functional Specifications</w:t>
      </w:r>
      <w:r>
        <w:rPr/>
        <w:t xml:space="preserve"> document for all implementation details.  While the specification does contain a large volume of technical details, the first section discusses primarily conceptual design, and may prove to be of value to the non-technical user.</w:t>
      </w:r>
    </w:p>
    <w:p>
      <w:pPr>
        <w:pStyle w:val="Heading1"/>
        <w:ind w:hanging="0" w:start="0"/>
        <w:rPr/>
      </w:pPr>
      <w:r>
        <w:rPr/>
        <w:t>BASIC ARCHITECTURE</w:t>
      </w:r>
    </w:p>
    <w:p>
      <w:pPr>
        <w:pStyle w:val="Normal"/>
        <w:rPr/>
      </w:pPr>
      <w:r>
        <w:rPr/>
      </w:r>
    </w:p>
    <w:p>
      <w:pPr>
        <w:pStyle w:val="Normal"/>
        <w:rPr/>
      </w:pPr>
      <w:r>
        <w:rPr/>
        <w:t>Figure 1 provides a basic overview of the design of the TIS. The basic functionality of the major components are described below and in detail in the</w:t>
      </w:r>
      <w:r>
        <w:rPr>
          <w:i/>
        </w:rPr>
        <w:t xml:space="preserve"> Electronic Tagging - Functional Specifications</w:t>
      </w:r>
      <w:r>
        <w:rPr/>
        <w:t xml:space="preserve"> document.</w:t>
      </w:r>
    </w:p>
    <w:p>
      <w:pPr>
        <w:pStyle w:val="Heading2"/>
        <w:ind w:hanging="0" w:start="0"/>
        <w:rPr/>
      </w:pPr>
      <w:r>
        <w:rPr/>
        <w:t>Tag Agent Service</w:t>
      </w:r>
    </w:p>
    <w:p>
      <w:pPr>
        <w:pStyle w:val="Normal"/>
        <w:rPr/>
      </w:pPr>
      <w:r>
        <w:rPr/>
        <w:t>The Tag Agent Service provides for the initial creation of an electronic tag representing an interchange transaction and the transfer of that information to the appropriate Tag Authority Service. Purchasing-Selling Entities (PSEs) and other Tag Authors are responsible for providing this service directly or by arranging with a third party to provide this service as their agent. Tags created by the Tag Agent Service are forwarded to the Tag Authority Service associated with the Sink (Load) Control Area (LCA). The Tag Agent Service provides a mechanism for the Tag Author to view the approval State of their transactions via an unsolicited notification mechanism. The Tag Agent Service also provides facilities for the Tag Author to make Corrections to tags prior to implementation, as well as request a Profile Changes to any of their tags following implementation.  These corrections and modifications are also sent and processed via the Tag Authority.</w:t>
      </w:r>
    </w:p>
    <w:p>
      <w:pPr>
        <w:pStyle w:val="Normal"/>
        <w:jc w:val="center"/>
        <w:rPr/>
      </w:pPr>
      <w:r>
        <w:rPr/>
        <w:drawing>
          <wp:inline distT="0" distB="0" distL="0" distR="0">
            <wp:extent cx="5478780" cy="31305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 t="-5" r="-3" b="-5"/>
                    <a:stretch>
                      <a:fillRect/>
                    </a:stretch>
                  </pic:blipFill>
                  <pic:spPr bwMode="auto">
                    <a:xfrm>
                      <a:off x="0" y="0"/>
                      <a:ext cx="5478780" cy="3130550"/>
                    </a:xfrm>
                    <a:prstGeom prst="rect">
                      <a:avLst/>
                    </a:prstGeom>
                    <a:noFill/>
                  </pic:spPr>
                </pic:pic>
              </a:graphicData>
            </a:graphic>
          </wp:inline>
        </w:drawing>
      </w:r>
      <w:r>
        <w:rPr>
          <w:i/>
          <w:iCs/>
          <w:sz w:val="16"/>
        </w:rPr>
        <w:t>Figure 1</w:t>
      </w:r>
    </w:p>
    <w:p>
      <w:pPr>
        <w:pStyle w:val="Heading2"/>
        <w:ind w:hanging="0" w:start="0"/>
        <w:rPr/>
      </w:pPr>
      <w:r>
        <w:rPr/>
        <w:t>Tag Authority Service</w:t>
      </w:r>
    </w:p>
    <w:p>
      <w:pPr>
        <w:pStyle w:val="Normal"/>
        <w:rPr/>
      </w:pPr>
      <w:r>
        <w:rPr/>
        <w:t>The Tag Authority Service provides the focal point for all interactions with a tag and maintains the single authoritative “copy of record” for each tag received. Every Load Control Area is responsible for providing this service directly or by arranging with a third party to provide this service as its agent. The Tag Authority Service forwards all valid received tag requests to the Tag Approval Service associated with each entity identified in the transaction as having “approval or viewing rights” over that request, and collects approvals/denials issued by these Tag Approval Services. Based on time and/or the messages received from the Tag Approval Services, the Tag Authority arbitrates and sends the final disposition of the request to the originating Agent and all Tag Approval Services associated with the transaction, and to that CA’s designated forwarding location (e.g., SAS or CA’s Security Coordinator). The Tag Authority Service also provides the capability for both Agent and Tag Approval Services to interrogate the current approval State of any transaction request on demand.</w:t>
      </w:r>
    </w:p>
    <w:p>
      <w:pPr>
        <w:pStyle w:val="Heading2"/>
        <w:ind w:hanging="0" w:start="0"/>
        <w:rPr/>
      </w:pPr>
      <w:r>
        <w:rPr/>
        <w:t>Tag Approval Service</w:t>
      </w:r>
    </w:p>
    <w:p>
      <w:pPr>
        <w:pStyle w:val="Normal"/>
        <w:rPr/>
      </w:pPr>
      <w:r>
        <w:rPr/>
        <w:t>The Tag Approval Service receives tag requests submitted by Agents via the appropriate Authority.  It also provides a means for an entity to receive notification of transaction in which they are involved, as well as send an approve or deny response to a Authority’s presentation of a valid request (if they have approval rights over the request).  Finally, it allows them to curtail or otherwise modify the profile of an existing tag (if they have rights to do so).  Control Areas, Transmission Providers, and Purchasing-Selling Entities are responsible for providing this service directly or for arranging with a third party to provide this service as their agent.</w:t>
      </w:r>
    </w:p>
    <w:p>
      <w:pPr>
        <w:pStyle w:val="Heading2"/>
        <w:spacing w:before="0" w:after="220"/>
        <w:ind w:hanging="0" w:start="0"/>
        <w:rPr>
          <w:rFonts w:cs="Arial"/>
          <w:bCs/>
          <w:iCs/>
        </w:rPr>
      </w:pPr>
      <w:r>
        <w:rPr>
          <w:rFonts w:cs="Arial"/>
          <w:bCs/>
          <w:iCs/>
        </w:rPr>
        <w:t>Security Analysis Service</w:t>
      </w:r>
    </w:p>
    <w:p>
      <w:pPr>
        <w:pStyle w:val="Normal"/>
        <w:rPr/>
      </w:pPr>
      <w:r>
        <w:rPr/>
        <w:t>Security Analysis Services receive activated tags from Authorities.  These tags inform the Security Analysis Service of the expected flows a transaction will create, and are used by Security Coordinators to mitigate constraints should the need arise.</w:t>
      </w:r>
    </w:p>
    <w:p>
      <w:pPr>
        <w:pStyle w:val="Heading1"/>
        <w:spacing w:before="0" w:after="220"/>
        <w:ind w:hanging="0" w:start="0"/>
        <w:rPr>
          <w:rFonts w:cs="Arial"/>
          <w:bCs/>
        </w:rPr>
      </w:pPr>
      <w:r>
        <w:rPr>
          <w:rFonts w:cs="Arial"/>
          <w:bCs/>
        </w:rPr>
        <w:t>NEW FUNCTIONS AND CONCEPTS</w:t>
      </w:r>
    </w:p>
    <w:p>
      <w:pPr>
        <w:pStyle w:val="Heading2"/>
        <w:spacing w:before="0" w:after="220"/>
        <w:ind w:hanging="0" w:start="0"/>
        <w:rPr>
          <w:rFonts w:cs="Arial"/>
          <w:bCs/>
          <w:iCs/>
        </w:rPr>
      </w:pPr>
      <w:r>
        <w:rPr>
          <w:rFonts w:cs="Arial"/>
          <w:bCs/>
          <w:iCs/>
        </w:rPr>
        <w:t>Financial and Physical Paths</w:t>
      </w:r>
    </w:p>
    <w:p>
      <w:pPr>
        <w:pStyle w:val="Normal"/>
        <w:rPr/>
      </w:pPr>
      <w:r>
        <w:rPr/>
        <w:t xml:space="preserve">Paths define the flow of both energy flow and fiduciary responsibility.  Financial path components are referred to as </w:t>
      </w:r>
      <w:r>
        <w:rPr>
          <w:b/>
          <w:bCs/>
        </w:rPr>
        <w:t>market segments</w:t>
      </w:r>
      <w:r>
        <w:rPr/>
        <w:t xml:space="preserve">, while physical path components are called </w:t>
      </w:r>
      <w:r>
        <w:rPr>
          <w:b/>
          <w:bCs/>
        </w:rPr>
        <w:t>physical segments</w:t>
      </w:r>
      <w:r>
        <w:rPr/>
        <w:t>.</w:t>
      </w:r>
    </w:p>
    <w:p>
      <w:pPr>
        <w:pStyle w:val="Normal"/>
        <w:rPr/>
      </w:pPr>
      <w:r>
        <w:rPr/>
        <w:t>A Physical Segment may be one of three types:</w:t>
      </w:r>
    </w:p>
    <w:p>
      <w:pPr>
        <w:pStyle w:val="Normal"/>
        <w:numPr>
          <w:ilvl w:val="0"/>
          <w:numId w:val="3"/>
        </w:numPr>
        <w:rPr/>
      </w:pPr>
      <w:r>
        <w:rPr>
          <w:b/>
          <w:bCs/>
        </w:rPr>
        <w:t>Generation</w:t>
      </w:r>
      <w:r>
        <w:rPr/>
        <w:t xml:space="preserve"> that is supplying energy for delviery,</w:t>
      </w:r>
    </w:p>
    <w:p>
      <w:pPr>
        <w:pStyle w:val="Normal"/>
        <w:numPr>
          <w:ilvl w:val="0"/>
          <w:numId w:val="3"/>
        </w:numPr>
        <w:rPr/>
      </w:pPr>
      <w:r>
        <w:rPr>
          <w:b/>
          <w:bCs/>
        </w:rPr>
        <w:t>Transmission</w:t>
      </w:r>
      <w:r>
        <w:rPr/>
        <w:t xml:space="preserve"> that is wheeling the energy from one point to another, and</w:t>
      </w:r>
    </w:p>
    <w:p>
      <w:pPr>
        <w:pStyle w:val="Normal"/>
        <w:numPr>
          <w:ilvl w:val="0"/>
          <w:numId w:val="3"/>
        </w:numPr>
        <w:rPr/>
      </w:pPr>
      <w:r>
        <w:rPr>
          <w:b/>
          <w:bCs/>
        </w:rPr>
        <w:t xml:space="preserve">Load </w:t>
      </w:r>
      <w:r>
        <w:rPr/>
        <w:t>that is consuming the delivered energy.</w:t>
      </w:r>
    </w:p>
    <w:p>
      <w:pPr>
        <w:pStyle w:val="Normal"/>
        <w:rPr/>
      </w:pPr>
      <w:r>
        <w:rPr/>
        <w:t>Market Segments are financial responsibilities for the receipt and/or delivery of the energy.  A Market Segment typically contains Physical Segments (illustrating holding of title across physical movement of energy), but contain no such Physical Segments (illustrating a non-physical title-holder).  Physical Segments must be contained within Market Segments.</w:t>
      </w:r>
    </w:p>
    <w:p>
      <w:pPr>
        <w:pStyle w:val="Heading2"/>
        <w:spacing w:before="0" w:after="220"/>
        <w:ind w:hanging="0" w:start="0"/>
        <w:rPr>
          <w:rFonts w:cs="Arial"/>
          <w:bCs/>
          <w:iCs/>
        </w:rPr>
      </w:pPr>
      <w:r>
        <w:rPr>
          <w:rFonts w:cs="Arial"/>
          <w:bCs/>
          <w:iCs/>
        </w:rPr>
        <w:t>Profile Descriptions</w:t>
      </w:r>
    </w:p>
    <w:p>
      <w:pPr>
        <w:pStyle w:val="Normal"/>
        <w:rPr/>
      </w:pPr>
      <w:r>
        <w:rPr/>
        <w:t>Profile Sets define the level at which transactions should run, as well as the factors that set those levels.  In general, a profile is built from several different implied or explicit levels:</w:t>
      </w:r>
    </w:p>
    <w:p>
      <w:pPr>
        <w:pStyle w:val="Normal"/>
        <w:numPr>
          <w:ilvl w:val="0"/>
          <w:numId w:val="2"/>
        </w:numPr>
        <w:rPr/>
      </w:pPr>
      <w:r>
        <w:rPr/>
        <w:t>The capacity committed to the transaction by the Tag Author (default is zero)</w:t>
      </w:r>
    </w:p>
    <w:p>
      <w:pPr>
        <w:pStyle w:val="Normal"/>
        <w:numPr>
          <w:ilvl w:val="0"/>
          <w:numId w:val="2"/>
        </w:numPr>
        <w:rPr/>
      </w:pPr>
      <w:r>
        <w:rPr/>
        <w:t>The energy flow using that capacity by the Tag Author (default is zero)</w:t>
      </w:r>
    </w:p>
    <w:p>
      <w:pPr>
        <w:pStyle w:val="Normal"/>
        <w:numPr>
          <w:ilvl w:val="0"/>
          <w:numId w:val="2"/>
        </w:numPr>
        <w:rPr/>
      </w:pPr>
      <w:r>
        <w:rPr/>
        <w:t>The maximum level at which the energy may reliably flow (default is infinite)</w:t>
      </w:r>
    </w:p>
    <w:p>
      <w:pPr>
        <w:pStyle w:val="Normal"/>
        <w:rPr/>
      </w:pPr>
      <w:r>
        <w:rPr/>
        <w:t>The true flow should always be equal to the lowest of these three values. Should a curtailment occur for reliability reasons, the reliability limit will be adjusted to reflect the new maximum level.  Tag Authors may adjust energy flow up or down, assuming that needed capacity has been provided for.  Additional capacity can be committed to allow for such variances.</w:t>
      </w:r>
    </w:p>
    <w:p>
      <w:pPr>
        <w:pStyle w:val="Normal"/>
        <w:rPr/>
      </w:pPr>
      <w:r>
        <w:rPr/>
        <w:t>The following diagrams illustrate the relationship between these levels:</w:t>
      </w:r>
    </w:p>
    <w:p>
      <w:pPr>
        <w:pStyle w:val="Normal"/>
        <w:rPr/>
      </w:pPr>
      <w:r>
        <w:rPr/>
        <w:drawing>
          <wp:inline distT="0" distB="0" distL="0" distR="0">
            <wp:extent cx="5486400" cy="411480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5" r="-4" b="-5"/>
                    <a:stretch>
                      <a:fillRect/>
                    </a:stretch>
                  </pic:blipFill>
                  <pic:spPr bwMode="auto">
                    <a:xfrm>
                      <a:off x="0" y="0"/>
                      <a:ext cx="5486400" cy="4114800"/>
                    </a:xfrm>
                    <a:prstGeom prst="rect">
                      <a:avLst/>
                    </a:prstGeom>
                    <a:noFill/>
                  </pic:spPr>
                </pic:pic>
              </a:graphicData>
            </a:graphic>
          </wp:inline>
        </w:drawing>
      </w:r>
    </w:p>
    <w:p>
      <w:pPr>
        <w:pStyle w:val="Normal"/>
        <w:rPr/>
      </w:pPr>
      <w:r>
        <w:rPr/>
        <w:drawing>
          <wp:inline distT="0" distB="0" distL="0" distR="0">
            <wp:extent cx="5486400" cy="411480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4" t="-5" r="-4" b="-5"/>
                    <a:stretch>
                      <a:fillRect/>
                    </a:stretch>
                  </pic:blipFill>
                  <pic:spPr bwMode="auto">
                    <a:xfrm>
                      <a:off x="0" y="0"/>
                      <a:ext cx="5486400" cy="4114800"/>
                    </a:xfrm>
                    <a:prstGeom prst="rect">
                      <a:avLst/>
                    </a:prstGeom>
                    <a:noFill/>
                  </pic:spPr>
                </pic:pic>
              </a:graphicData>
            </a:graphic>
          </wp:inline>
        </w:drawing>
      </w:r>
    </w:p>
    <w:p>
      <w:pPr>
        <w:pStyle w:val="Normal"/>
        <w:rPr/>
      </w:pPr>
      <w:r>
        <w:rPr/>
        <w:drawing>
          <wp:inline distT="0" distB="0" distL="0" distR="0">
            <wp:extent cx="5486400" cy="4114800"/>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4" t="-5" r="-4" b="-5"/>
                    <a:stretch>
                      <a:fillRect/>
                    </a:stretch>
                  </pic:blipFill>
                  <pic:spPr bwMode="auto">
                    <a:xfrm>
                      <a:off x="0" y="0"/>
                      <a:ext cx="5486400" cy="4114800"/>
                    </a:xfrm>
                    <a:prstGeom prst="rect">
                      <a:avLst/>
                    </a:prstGeom>
                    <a:noFill/>
                  </pic:spPr>
                </pic:pic>
              </a:graphicData>
            </a:graphic>
          </wp:inline>
        </w:drawing>
      </w:r>
    </w:p>
    <w:p>
      <w:pPr>
        <w:pStyle w:val="Normal"/>
        <w:rPr/>
      </w:pPr>
      <w:r>
        <w:rPr/>
        <w:drawing>
          <wp:inline distT="0" distB="0" distL="0" distR="0">
            <wp:extent cx="5486400" cy="4114800"/>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rcRect l="-4" t="-5" r="-4" b="-5"/>
                    <a:stretch>
                      <a:fillRect/>
                    </a:stretch>
                  </pic:blipFill>
                  <pic:spPr bwMode="auto">
                    <a:xfrm>
                      <a:off x="0" y="0"/>
                      <a:ext cx="5486400" cy="4114800"/>
                    </a:xfrm>
                    <a:prstGeom prst="rect">
                      <a:avLst/>
                    </a:prstGeom>
                    <a:noFill/>
                  </pic:spPr>
                </pic:pic>
              </a:graphicData>
            </a:graphic>
          </wp:inline>
        </w:drawing>
      </w:r>
    </w:p>
    <w:p>
      <w:pPr>
        <w:pStyle w:val="Normal"/>
        <w:rPr/>
      </w:pPr>
      <w:r>
        <w:rPr/>
        <w:drawing>
          <wp:inline distT="0" distB="0" distL="0" distR="0">
            <wp:extent cx="5486400" cy="4114800"/>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7"/>
                    <a:srcRect l="-4" t="-5" r="-4" b="-5"/>
                    <a:stretch>
                      <a:fillRect/>
                    </a:stretch>
                  </pic:blipFill>
                  <pic:spPr bwMode="auto">
                    <a:xfrm>
                      <a:off x="0" y="0"/>
                      <a:ext cx="5486400" cy="4114800"/>
                    </a:xfrm>
                    <a:prstGeom prst="rect">
                      <a:avLst/>
                    </a:prstGeom>
                    <a:noFill/>
                  </pic:spPr>
                </pic:pic>
              </a:graphicData>
            </a:graphic>
          </wp:inline>
        </w:drawing>
      </w:r>
    </w:p>
    <w:p>
      <w:pPr>
        <w:pStyle w:val="Heading2"/>
        <w:spacing w:before="0" w:after="220"/>
        <w:ind w:hanging="0" w:start="0"/>
        <w:rPr>
          <w:rFonts w:cs="Arial"/>
          <w:bCs/>
          <w:iCs/>
        </w:rPr>
      </w:pPr>
      <w:r>
        <w:rPr>
          <w:rFonts w:cs="Arial"/>
          <w:bCs/>
          <w:iCs/>
        </w:rPr>
        <w:t>Transmission Stacking</w:t>
      </w:r>
    </w:p>
    <w:p>
      <w:pPr>
        <w:pStyle w:val="Normal"/>
        <w:rPr/>
      </w:pPr>
      <w:r>
        <w:rPr/>
        <w:t>Transmission Stacking describes a manner in which a Tag Author can combine different transmission reservations to support the capacity committed in a Transmission Providers associated profile.  E-tag 1.7 allows the author to specify in both time durations and megawatt levels the amount of a reservation to be used to support a transaction.</w:t>
      </w:r>
    </w:p>
    <w:p>
      <w:pPr>
        <w:pStyle w:val="HTMLBody"/>
        <w:rPr>
          <w:rFonts w:ascii="Times New Roman" w:hAnsi="Times New Roman" w:cs="Times New Roman"/>
          <w:sz w:val="22"/>
        </w:rPr>
      </w:pPr>
      <w:r>
        <w:rPr>
          <w:rFonts w:cs="Times New Roman" w:ascii="Times New Roman" w:hAnsi="Times New Roman"/>
          <w:sz w:val="22"/>
        </w:rPr>
        <w:t>There are two types of transmission stacking:</w:t>
      </w:r>
    </w:p>
    <w:p>
      <w:pPr>
        <w:pStyle w:val="HTMLBody"/>
        <w:numPr>
          <w:ilvl w:val="0"/>
          <w:numId w:val="4"/>
        </w:numPr>
        <w:rPr>
          <w:rFonts w:ascii="Times New Roman" w:hAnsi="Times New Roman" w:cs="Times New Roman"/>
          <w:sz w:val="22"/>
        </w:rPr>
      </w:pPr>
      <w:r>
        <w:rPr>
          <w:rFonts w:cs="Times New Roman" w:ascii="Times New Roman" w:hAnsi="Times New Roman"/>
          <w:sz w:val="22"/>
        </w:rPr>
        <w:t>Vertical stacking, in which a transmission customer combines multiple reservations to achieve a certain net level of capacity, and</w:t>
      </w:r>
    </w:p>
    <w:p>
      <w:pPr>
        <w:pStyle w:val="HTMLBody"/>
        <w:numPr>
          <w:ilvl w:val="0"/>
          <w:numId w:val="4"/>
        </w:numPr>
        <w:rPr>
          <w:rFonts w:ascii="Times New Roman" w:hAnsi="Times New Roman" w:cs="Times New Roman"/>
          <w:sz w:val="22"/>
        </w:rPr>
      </w:pPr>
      <w:r>
        <w:rPr>
          <w:rFonts w:cs="Times New Roman" w:ascii="Times New Roman" w:hAnsi="Times New Roman"/>
          <w:sz w:val="22"/>
        </w:rPr>
        <w:t>Horizontal stacking, in which a transmission customer combines multiple reservations to achieve a certain coverage over time.</w:t>
      </w:r>
    </w:p>
    <w:p>
      <w:pPr>
        <w:pStyle w:val="HTMLBody"/>
        <w:rPr>
          <w:rFonts w:ascii="Times New Roman" w:hAnsi="Times New Roman" w:cs="Times New Roman"/>
          <w:sz w:val="22"/>
        </w:rPr>
      </w:pPr>
      <w:r>
        <w:rPr>
          <w:rFonts w:cs="Times New Roman" w:ascii="Times New Roman" w:hAnsi="Times New Roman"/>
          <w:sz w:val="22"/>
        </w:rPr>
      </w:r>
    </w:p>
    <w:p>
      <w:pPr>
        <w:pStyle w:val="HTMLBody"/>
        <w:rPr>
          <w:rFonts w:ascii="Times New Roman" w:hAnsi="Times New Roman" w:cs="Times New Roman"/>
          <w:sz w:val="22"/>
        </w:rPr>
      </w:pPr>
      <w:r>
        <w:rPr>
          <w:rFonts w:cs="Times New Roman" w:ascii="Times New Roman" w:hAnsi="Times New Roman"/>
          <w:sz w:val="22"/>
        </w:rPr>
        <w:t>The following diagrams illustrate these concepts more fully.  In both cases, the assumed need is 100MW of transmission capacity for hours 06:00 through 22:00.</w:t>
      </w:r>
    </w:p>
    <w:p>
      <w:pPr>
        <w:pStyle w:val="HTMLBody"/>
        <w:rPr>
          <w:rFonts w:ascii="Arial" w:hAnsi="Arial" w:cs="Arial"/>
          <w:sz w:val="22"/>
        </w:rPr>
      </w:pPr>
      <w:r>
        <w:rPr>
          <w:rFonts w:cs="Arial" w:ascii="Arial" w:hAnsi="Arial"/>
          <w:sz w:val="22"/>
        </w:rPr>
      </w:r>
    </w:p>
    <w:p>
      <w:pPr>
        <w:pStyle w:val="HTMLBody"/>
        <w:rPr>
          <w:rFonts w:ascii="Arial" w:hAnsi="Arial" w:cs="Arial"/>
        </w:rPr>
      </w:pPr>
      <w:r>
        <w:rPr>
          <w:rFonts w:cs="Arial" w:ascii="Arial" w:hAnsi="Arial"/>
        </w:rPr>
        <w:drawing>
          <wp:inline distT="0" distB="0" distL="0" distR="0">
            <wp:extent cx="4566920" cy="2537460"/>
            <wp:effectExtent l="0" t="0" r="0" b="0"/>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8"/>
                    <a:srcRect l="-4" t="-8" r="-4" b="-8"/>
                    <a:stretch>
                      <a:fillRect/>
                    </a:stretch>
                  </pic:blipFill>
                  <pic:spPr bwMode="auto">
                    <a:xfrm>
                      <a:off x="0" y="0"/>
                      <a:ext cx="4566920" cy="2537460"/>
                    </a:xfrm>
                    <a:prstGeom prst="rect">
                      <a:avLst/>
                    </a:prstGeom>
                    <a:noFill/>
                  </pic:spPr>
                </pic:pic>
              </a:graphicData>
            </a:graphic>
          </wp:inline>
        </w:drawing>
      </w:r>
    </w:p>
    <w:p>
      <w:pPr>
        <w:pStyle w:val="HTMLBody"/>
        <w:rPr>
          <w:rFonts w:ascii="Arial" w:hAnsi="Arial" w:cs="Arial"/>
        </w:rPr>
      </w:pPr>
      <w:r>
        <w:rPr>
          <w:rFonts w:cs="Arial" w:ascii="Arial" w:hAnsi="Arial"/>
        </w:rPr>
      </w:r>
    </w:p>
    <w:p>
      <w:pPr>
        <w:pStyle w:val="HTMLBody"/>
        <w:rPr>
          <w:rFonts w:ascii="Arial" w:hAnsi="Arial" w:cs="Arial"/>
        </w:rPr>
      </w:pPr>
      <w:r>
        <w:rPr>
          <w:rFonts w:cs="Arial" w:ascii="Arial" w:hAnsi="Arial"/>
        </w:rPr>
        <w:drawing>
          <wp:inline distT="0" distB="0" distL="0" distR="0">
            <wp:extent cx="4566920" cy="2537460"/>
            <wp:effectExtent l="0" t="0" r="0" b="0"/>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9"/>
                    <a:srcRect l="-4" t="-8" r="-4" b="-8"/>
                    <a:stretch>
                      <a:fillRect/>
                    </a:stretch>
                  </pic:blipFill>
                  <pic:spPr bwMode="auto">
                    <a:xfrm>
                      <a:off x="0" y="0"/>
                      <a:ext cx="4566920" cy="2537460"/>
                    </a:xfrm>
                    <a:prstGeom prst="rect">
                      <a:avLst/>
                    </a:prstGeom>
                    <a:noFill/>
                  </pic:spPr>
                </pic:pic>
              </a:graphicData>
            </a:graphic>
          </wp:inline>
        </w:drawing>
      </w:r>
    </w:p>
    <w:p>
      <w:pPr>
        <w:pStyle w:val="HTMLBody"/>
        <w:rPr>
          <w:rFonts w:ascii="Arial" w:hAnsi="Arial" w:cs="Arial"/>
        </w:rPr>
      </w:pPr>
      <w:r>
        <w:rPr>
          <w:rFonts w:cs="Arial" w:ascii="Arial" w:hAnsi="Arial"/>
        </w:rPr>
      </w:r>
    </w:p>
    <w:p>
      <w:pPr>
        <w:pStyle w:val="HTMLBody"/>
        <w:rPr>
          <w:rFonts w:ascii="Times New Roman" w:hAnsi="Times New Roman" w:cs="Times New Roman"/>
          <w:sz w:val="22"/>
        </w:rPr>
      </w:pPr>
      <w:r>
        <w:rPr>
          <w:rFonts w:cs="Times New Roman" w:ascii="Times New Roman" w:hAnsi="Times New Roman"/>
          <w:sz w:val="22"/>
        </w:rPr>
        <w:t>Should a customer elect to utilize stacking to support their interchange transaction, they must understand the following requirements:</w:t>
      </w:r>
    </w:p>
    <w:p>
      <w:pPr>
        <w:pStyle w:val="HTMLBody"/>
        <w:numPr>
          <w:ilvl w:val="0"/>
          <w:numId w:val="5"/>
        </w:numPr>
        <w:rPr>
          <w:rFonts w:ascii="Times New Roman" w:hAnsi="Times New Roman" w:cs="Times New Roman"/>
          <w:sz w:val="22"/>
        </w:rPr>
      </w:pPr>
      <w:r>
        <w:rPr>
          <w:rFonts w:cs="Times New Roman" w:ascii="Times New Roman" w:hAnsi="Times New Roman"/>
          <w:sz w:val="22"/>
        </w:rPr>
        <w:t>Stacks MUST be described through fully qualified profiles for each reservation being used</w:t>
      </w:r>
    </w:p>
    <w:p>
      <w:pPr>
        <w:pStyle w:val="HTMLBody"/>
        <w:numPr>
          <w:ilvl w:val="0"/>
          <w:numId w:val="5"/>
        </w:numPr>
        <w:rPr>
          <w:rFonts w:ascii="Arial" w:hAnsi="Arial" w:cs="Arial"/>
        </w:rPr>
      </w:pPr>
      <w:r>
        <w:rPr>
          <w:rFonts w:cs="Times New Roman" w:ascii="Times New Roman" w:hAnsi="Times New Roman"/>
          <w:sz w:val="22"/>
        </w:rPr>
        <w:t>At no point may the coverage described by the stack be less than the capacity needed for the transaction</w:t>
      </w:r>
    </w:p>
    <w:p>
      <w:pPr>
        <w:pStyle w:val="HTMLBody"/>
        <w:ind w:start="360" w:end="0"/>
        <w:rPr>
          <w:rFonts w:ascii="Arial" w:hAnsi="Arial" w:cs="Arial"/>
        </w:rPr>
      </w:pPr>
      <w:r>
        <w:rPr>
          <w:rFonts w:cs="Arial" w:ascii="Arial" w:hAnsi="Arial"/>
        </w:rPr>
      </w:r>
    </w:p>
    <w:p>
      <w:pPr>
        <w:pStyle w:val="Heading2"/>
        <w:spacing w:before="0" w:after="220"/>
        <w:ind w:hanging="0" w:start="0"/>
        <w:rPr>
          <w:rFonts w:cs="Arial"/>
          <w:bCs/>
          <w:iCs/>
        </w:rPr>
      </w:pPr>
      <w:r>
        <w:rPr>
          <w:rFonts w:cs="Arial"/>
          <w:bCs/>
          <w:iCs/>
        </w:rPr>
        <w:t>Corrections</w:t>
      </w:r>
    </w:p>
    <w:p>
      <w:pPr>
        <w:pStyle w:val="Normal"/>
        <w:rPr/>
      </w:pPr>
      <w:r>
        <w:rPr/>
        <w:t>A Tag Author can make tag Corrections when a portion of the tag data must be changed due to typographic error or mistake.  During the New Tag Request approval process (in which parties evaluate the transaction for ability to implement) the Tag Author may notice or be informed of a needed change in the tag.  That change may be written and submitted as a correction.</w:t>
      </w:r>
    </w:p>
    <w:p>
      <w:pPr>
        <w:pStyle w:val="Normal"/>
        <w:rPr>
          <w:rFonts w:cs="Arial"/>
          <w:bCs/>
          <w:iCs/>
        </w:rPr>
      </w:pPr>
      <w:r>
        <w:rPr/>
        <w:t>The correction is distributed to all parties and requires entities affected by the correction to re-evaluate the Request using the corrected data.  Unaffected entities need not re-approve the tag.</w:t>
      </w:r>
    </w:p>
    <w:p>
      <w:pPr>
        <w:pStyle w:val="Heading2"/>
        <w:spacing w:before="0" w:after="220"/>
        <w:ind w:hanging="0" w:start="0"/>
        <w:rPr>
          <w:rFonts w:cs="Arial"/>
          <w:bCs/>
          <w:iCs/>
        </w:rPr>
      </w:pPr>
      <w:r>
        <w:rPr>
          <w:rFonts w:cs="Arial"/>
          <w:bCs/>
          <w:iCs/>
        </w:rPr>
        <w:t>Profile Changes</w:t>
      </w:r>
    </w:p>
    <w:p>
      <w:pPr>
        <w:pStyle w:val="Normal"/>
        <w:rPr/>
      </w:pPr>
      <w:r>
        <w:rPr/>
        <w:t>Profile Changes can be requested by several different parties and for three primary reasons:</w:t>
      </w:r>
    </w:p>
    <w:p>
      <w:pPr>
        <w:pStyle w:val="Normal"/>
        <w:numPr>
          <w:ilvl w:val="0"/>
          <w:numId w:val="6"/>
        </w:numPr>
        <w:rPr/>
      </w:pPr>
      <w:r>
        <w:rPr/>
        <w:t>To implement market-based modifications to commitments of capacity (</w:t>
      </w:r>
      <w:r>
        <w:rPr>
          <w:b/>
          <w:bCs/>
        </w:rPr>
        <w:t>capacity committment</w:t>
      </w:r>
      <w:r>
        <w:rPr/>
        <w:t xml:space="preserve"> and </w:t>
      </w:r>
      <w:r>
        <w:rPr>
          <w:b/>
          <w:bCs/>
        </w:rPr>
        <w:t>capacity release</w:t>
      </w:r>
      <w:r>
        <w:rPr/>
        <w:t>)</w:t>
      </w:r>
    </w:p>
    <w:p>
      <w:pPr>
        <w:pStyle w:val="Normal"/>
        <w:numPr>
          <w:ilvl w:val="0"/>
          <w:numId w:val="6"/>
        </w:numPr>
        <w:rPr/>
      </w:pPr>
      <w:r>
        <w:rPr/>
        <w:t>To implement market-based desires to modify or extend energy flow (</w:t>
      </w:r>
      <w:r>
        <w:rPr>
          <w:b/>
          <w:bCs/>
        </w:rPr>
        <w:t xml:space="preserve">adjustments, extensions, cancellations, </w:t>
      </w:r>
      <w:r>
        <w:rPr/>
        <w:t>and</w:t>
      </w:r>
      <w:r>
        <w:rPr>
          <w:b/>
          <w:bCs/>
        </w:rPr>
        <w:t xml:space="preserve"> terminations</w:t>
      </w:r>
      <w:r>
        <w:rPr/>
        <w:t>)</w:t>
      </w:r>
    </w:p>
    <w:p>
      <w:pPr>
        <w:pStyle w:val="Normal"/>
        <w:numPr>
          <w:ilvl w:val="0"/>
          <w:numId w:val="6"/>
        </w:numPr>
        <w:rPr/>
      </w:pPr>
      <w:r>
        <w:rPr/>
        <w:t xml:space="preserve">To implement reliability-based desires to modify energy flow (i.e., </w:t>
      </w:r>
      <w:r>
        <w:rPr>
          <w:b/>
          <w:bCs/>
        </w:rPr>
        <w:t>curtailments</w:t>
      </w:r>
      <w:r>
        <w:rPr/>
        <w:t xml:space="preserve"> and </w:t>
      </w:r>
      <w:r>
        <w:rPr>
          <w:b/>
          <w:bCs/>
        </w:rPr>
        <w:t>reloads</w:t>
      </w:r>
      <w:r>
        <w:rPr/>
        <w:t>)</w:t>
      </w:r>
    </w:p>
    <w:p>
      <w:pPr>
        <w:pStyle w:val="Normal"/>
        <w:rPr/>
      </w:pPr>
      <w:r>
        <w:rPr/>
        <w:t xml:space="preserve">At times when such desires are realized, the party wishing to implement the Profile Change will use their appropriate E-Tag service to write a profile change request and send it to the Authority.  </w:t>
      </w:r>
    </w:p>
    <w:p>
      <w:pPr>
        <w:pStyle w:val="Normal"/>
        <w:rPr/>
      </w:pPr>
      <w:r>
        <w:rPr>
          <w:b/>
          <w:bCs/>
        </w:rPr>
        <w:t xml:space="preserve">Capacity Commitments </w:t>
      </w:r>
      <w:r>
        <w:rPr/>
        <w:t xml:space="preserve">are initiated by Tag Authors, and are requests to assign resource potential to a particular tag. </w:t>
      </w:r>
      <w:r>
        <w:rPr>
          <w:bCs/>
        </w:rPr>
        <w:t>Capacity Commitments must go through the approval process.</w:t>
      </w:r>
    </w:p>
    <w:p>
      <w:pPr>
        <w:pStyle w:val="Normal"/>
        <w:rPr/>
      </w:pPr>
      <w:r>
        <w:rPr>
          <w:b/>
          <w:bCs/>
        </w:rPr>
        <w:t xml:space="preserve">Capacity Releases </w:t>
      </w:r>
      <w:r>
        <w:rPr/>
        <w:t xml:space="preserve">are initiated by Tag Authors, and are requests to “de-commit” resource potential to a particular tag.  </w:t>
      </w:r>
      <w:r>
        <w:rPr>
          <w:bCs/>
        </w:rPr>
        <w:t>Capacity releases are automatically approved, unless they modify energy flow (in which case they must go through the approval process).</w:t>
      </w:r>
    </w:p>
    <w:p>
      <w:pPr>
        <w:pStyle w:val="Normal"/>
        <w:rPr/>
      </w:pPr>
      <w:r>
        <w:rPr>
          <w:b/>
          <w:bCs/>
        </w:rPr>
        <w:t>Adjustments</w:t>
      </w:r>
      <w:r>
        <w:rPr/>
        <w:t xml:space="preserve"> are initiated by Tag Authors, and are requests to change a tag’s profile higher or lower than originally requested.  Adjustments must either be within the limits of the previously committed capacity or provide additional capacity to support the change.  Adjustments must go through the approval process.</w:t>
      </w:r>
    </w:p>
    <w:p>
      <w:pPr>
        <w:pStyle w:val="Normal"/>
        <w:rPr/>
      </w:pPr>
      <w:r>
        <w:rPr>
          <w:b/>
          <w:bCs/>
        </w:rPr>
        <w:t>Extensions</w:t>
      </w:r>
      <w:r>
        <w:rPr/>
        <w:t xml:space="preserve"> are initiated by Tag Authors, and are requests to set the start and/or stop time of a tag to a different time than was originally requested.  Extensions must provide additional capacity or the new hours not previously scheduled.</w:t>
      </w:r>
    </w:p>
    <w:p>
      <w:pPr>
        <w:pStyle w:val="Normal"/>
        <w:rPr/>
      </w:pPr>
      <w:r>
        <w:rPr>
          <w:b/>
        </w:rPr>
        <w:t xml:space="preserve">Cancellations </w:t>
      </w:r>
      <w:r>
        <w:rPr>
          <w:bCs/>
        </w:rPr>
        <w:t>are initiated by Tag Authors, and are requests to set a tag’s profile (both energy and capacity) to zero prior to the start of that transaction.  If cancellations are received in a timely manner, they are automatically approved; otherwise, they must go through the approval process.</w:t>
      </w:r>
    </w:p>
    <w:p>
      <w:pPr>
        <w:pStyle w:val="Normal"/>
        <w:rPr/>
      </w:pPr>
      <w:r>
        <w:rPr>
          <w:b/>
        </w:rPr>
        <w:t>Terminations</w:t>
      </w:r>
      <w:r>
        <w:rPr>
          <w:bCs/>
        </w:rPr>
        <w:t xml:space="preserve"> are initiated by Tag Authors, and are requests to set a tag’s profile (both energy and capacity) to zero after the transaction has begun flowing.  Terminations must go through the approval process.</w:t>
      </w:r>
    </w:p>
    <w:p>
      <w:pPr>
        <w:pStyle w:val="Normal"/>
        <w:rPr/>
      </w:pPr>
      <w:r>
        <w:rPr>
          <w:b/>
        </w:rPr>
        <w:t xml:space="preserve">Curtailments </w:t>
      </w:r>
      <w:r>
        <w:rPr>
          <w:bCs/>
        </w:rPr>
        <w:t>are initiated by Security Coordinators, and are requests to set a limit on a tag’s profile based on a reliability concern.  Curtailments must go through the approval process.</w:t>
      </w:r>
    </w:p>
    <w:p>
      <w:pPr>
        <w:pStyle w:val="Normal"/>
        <w:rPr/>
      </w:pPr>
      <w:r>
        <w:rPr>
          <w:b/>
        </w:rPr>
        <w:t xml:space="preserve">Reloads </w:t>
      </w:r>
      <w:r>
        <w:rPr>
          <w:bCs/>
        </w:rPr>
        <w:t>are initiated by Security Coordinators, and are requests to release a limit on a tag’s profile based on the elimination of a reliability concern.  Reloads must go through the approval process.</w:t>
      </w:r>
    </w:p>
    <w:p>
      <w:pPr>
        <w:pStyle w:val="HTMLBody"/>
        <w:rPr>
          <w:rFonts w:ascii="Arial" w:hAnsi="Arial" w:cs="Arial"/>
          <w:b/>
          <w:bCs/>
          <w:i/>
          <w:i/>
          <w:iCs/>
          <w:sz w:val="22"/>
        </w:rPr>
      </w:pPr>
      <w:r>
        <w:rPr>
          <w:rFonts w:cs="Arial" w:ascii="Arial" w:hAnsi="Arial"/>
          <w:b/>
          <w:bCs/>
          <w:i/>
          <w:iCs/>
          <w:sz w:val="22"/>
        </w:rPr>
        <w:t>Requests</w:t>
      </w:r>
    </w:p>
    <w:p>
      <w:pPr>
        <w:pStyle w:val="HTMLBody"/>
        <w:rPr>
          <w:rFonts w:ascii="Arial" w:hAnsi="Arial" w:cs="Arial"/>
          <w:b/>
          <w:bCs/>
          <w:i/>
          <w:i/>
          <w:iCs/>
          <w:sz w:val="22"/>
        </w:rPr>
      </w:pPr>
      <w:r>
        <w:rPr>
          <w:rFonts w:cs="Arial" w:ascii="Arial" w:hAnsi="Arial"/>
          <w:b/>
          <w:bCs/>
          <w:i/>
          <w:iCs/>
          <w:sz w:val="22"/>
        </w:rPr>
      </w:r>
    </w:p>
    <w:p>
      <w:pPr>
        <w:pStyle w:val="HTMLBody"/>
        <w:rPr>
          <w:rFonts w:ascii="Times New Roman" w:hAnsi="Times New Roman" w:cs="Times New Roman"/>
          <w:sz w:val="22"/>
        </w:rPr>
      </w:pPr>
      <w:r>
        <w:rPr>
          <w:rFonts w:cs="Times New Roman" w:ascii="Times New Roman" w:hAnsi="Times New Roman"/>
          <w:sz w:val="22"/>
        </w:rPr>
        <w:t>E-Tag 1.7 works on a fundamental principle of requests.  New tags are requests to implement a profile, while adjustments, extensions, curtailments, and reloads are all requests to modify a profile.  As such, a request has several states that identify the current disposition of the request. This concept of a “Request State” replaces the previous concept of “Composite State.”</w:t>
      </w:r>
    </w:p>
    <w:p>
      <w:pPr>
        <w:pStyle w:val="HTMLBody"/>
        <w:rPr>
          <w:rFonts w:ascii="Times New Roman" w:hAnsi="Times New Roman" w:cs="Times New Roman"/>
          <w:sz w:val="22"/>
        </w:rPr>
      </w:pPr>
      <w:r>
        <w:rPr>
          <w:rFonts w:cs="Times New Roman" w:ascii="Times New Roman" w:hAnsi="Times New Roman"/>
          <w:sz w:val="22"/>
        </w:rPr>
      </w:r>
    </w:p>
    <w:p>
      <w:pPr>
        <w:pStyle w:val="Normal"/>
        <w:rPr/>
      </w:pPr>
      <w:r>
        <w:rPr/>
        <w:t>Request States specify the disposition of a particular request.  There are three specific states:</w:t>
      </w:r>
    </w:p>
    <w:tbl>
      <w:tblPr>
        <w:tblW w:w="8856" w:type="dxa"/>
        <w:jc w:val="start"/>
        <w:tblInd w:w="0" w:type="dxa"/>
        <w:tblLayout w:type="fixed"/>
        <w:tblCellMar>
          <w:top w:w="0" w:type="dxa"/>
          <w:start w:w="108" w:type="dxa"/>
          <w:bottom w:w="0" w:type="dxa"/>
          <w:end w:w="108" w:type="dxa"/>
        </w:tblCellMar>
      </w:tblPr>
      <w:tblGrid>
        <w:gridCol w:w="2268"/>
        <w:gridCol w:w="6588"/>
      </w:tblGrid>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20"/>
              <w:rPr/>
            </w:pPr>
            <w:r>
              <w:rPr/>
              <w:t>PENDING</w:t>
            </w:r>
          </w:p>
        </w:tc>
        <w:tc>
          <w:tcPr>
            <w:tcW w:w="658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20"/>
              <w:rPr/>
            </w:pPr>
            <w:r>
              <w:rPr/>
              <w:t>The request has not yet been moved to a final state.</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20"/>
              <w:rPr/>
            </w:pPr>
            <w:r>
              <w:rPr/>
              <w:t>IMPLEMENTED</w:t>
            </w:r>
          </w:p>
        </w:tc>
        <w:tc>
          <w:tcPr>
            <w:tcW w:w="658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20"/>
              <w:rPr/>
            </w:pPr>
            <w:r>
              <w:rPr/>
              <w:t>The request has been approved by all parties (either actively or passively) and should be implemented.</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20"/>
              <w:rPr/>
            </w:pPr>
            <w:r>
              <w:rPr/>
              <w:t>DENIED</w:t>
            </w:r>
          </w:p>
        </w:tc>
        <w:tc>
          <w:tcPr>
            <w:tcW w:w="658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20"/>
              <w:rPr/>
            </w:pPr>
            <w:r>
              <w:rPr/>
              <w:t>The request has been denied by at least one party (either actively or passively) and should not be implemented.</w:t>
            </w:r>
          </w:p>
        </w:tc>
      </w:tr>
    </w:tbl>
    <w:p>
      <w:pPr>
        <w:pStyle w:val="HTMLBody"/>
        <w:rPr>
          <w:rFonts w:ascii="Times New Roman" w:hAnsi="Times New Roman" w:cs="Times New Roman"/>
          <w:sz w:val="22"/>
        </w:rPr>
      </w:pPr>
      <w:r>
        <w:rPr>
          <w:rFonts w:cs="Times New Roman" w:ascii="Times New Roman" w:hAnsi="Times New Roman"/>
          <w:sz w:val="22"/>
        </w:rPr>
      </w:r>
    </w:p>
    <w:p>
      <w:pPr>
        <w:pStyle w:val="HTMLBody"/>
        <w:rPr>
          <w:rFonts w:ascii="Times New Roman" w:hAnsi="Times New Roman" w:cs="Times New Roman"/>
          <w:sz w:val="22"/>
        </w:rPr>
      </w:pPr>
      <w:r>
        <w:rPr>
          <w:rFonts w:cs="Times New Roman" w:ascii="Times New Roman" w:hAnsi="Times New Roman"/>
          <w:sz w:val="22"/>
        </w:rPr>
        <w:t>Each request also has a set of Approval entities, each of which has specific state information as well. Delivery States specify the delivery of a request to its approver.  Each approver for a request will have a delivery state associated with them. There are four specific states:</w:t>
      </w:r>
    </w:p>
    <w:tbl>
      <w:tblPr>
        <w:tblW w:w="8856" w:type="dxa"/>
        <w:jc w:val="start"/>
        <w:tblInd w:w="0" w:type="dxa"/>
        <w:tblLayout w:type="fixed"/>
        <w:tblCellMar>
          <w:top w:w="0" w:type="dxa"/>
          <w:start w:w="108" w:type="dxa"/>
          <w:bottom w:w="0" w:type="dxa"/>
          <w:end w:w="108" w:type="dxa"/>
        </w:tblCellMar>
      </w:tblPr>
      <w:tblGrid>
        <w:gridCol w:w="2268"/>
        <w:gridCol w:w="6588"/>
      </w:tblGrid>
      <w:tr>
        <w:trPr/>
        <w:tc>
          <w:tcPr>
            <w:tcW w:w="226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pacing w:before="0" w:after="220"/>
              <w:rPr/>
            </w:pPr>
            <w:r>
              <w:rPr/>
              <w:t>PENDING</w:t>
            </w:r>
          </w:p>
        </w:tc>
        <w:tc>
          <w:tcPr>
            <w:tcW w:w="658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20"/>
              <w:rPr/>
            </w:pPr>
            <w:r>
              <w:rPr/>
              <w:t>The request is scheduled for delivery, but has not yet been successfully delivered</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20"/>
              <w:rPr/>
            </w:pPr>
            <w:r>
              <w:rPr/>
              <w:t>DELIVERED</w:t>
            </w:r>
          </w:p>
        </w:tc>
        <w:tc>
          <w:tcPr>
            <w:tcW w:w="658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20"/>
              <w:rPr/>
            </w:pPr>
            <w:r>
              <w:rPr/>
              <w:t>The request was successfully delivered to the party associated with the State</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20"/>
              <w:rPr/>
            </w:pPr>
            <w:r>
              <w:rPr/>
              <w:t>INVALID</w:t>
            </w:r>
          </w:p>
        </w:tc>
        <w:tc>
          <w:tcPr>
            <w:tcW w:w="658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20"/>
              <w:rPr/>
            </w:pPr>
            <w:r>
              <w:rPr/>
              <w:t>The request was not successfully delivered to the party associated with the State; the recipient claims there is a syntax or rules violation that prevents it’s successful processing of the request.</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20"/>
              <w:rPr/>
            </w:pPr>
            <w:r>
              <w:rPr/>
              <w:t>COMMFAIL</w:t>
            </w:r>
          </w:p>
        </w:tc>
        <w:tc>
          <w:tcPr>
            <w:tcW w:w="658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20"/>
              <w:rPr/>
            </w:pPr>
            <w:r>
              <w:rPr/>
              <w:t>The request was not successfully delivered to the party associated with the State; the recipient was either not available for response or responded in an unexpected manner.</w:t>
            </w:r>
          </w:p>
        </w:tc>
      </w:tr>
    </w:tbl>
    <w:p>
      <w:pPr>
        <w:pStyle w:val="HTMLBody"/>
        <w:rPr>
          <w:rFonts w:ascii="Times New Roman" w:hAnsi="Times New Roman" w:cs="Times New Roman"/>
          <w:sz w:val="22"/>
        </w:rPr>
      </w:pPr>
      <w:r>
        <w:rPr>
          <w:rFonts w:cs="Times New Roman" w:ascii="Times New Roman" w:hAnsi="Times New Roman"/>
          <w:sz w:val="22"/>
        </w:rPr>
      </w:r>
    </w:p>
    <w:p>
      <w:pPr>
        <w:pStyle w:val="Normal"/>
        <w:rPr/>
      </w:pPr>
      <w:r>
        <w:rPr/>
        <w:t>Approval States specify the disposition of a particular request set by its approver.  There are five specific states:</w:t>
      </w:r>
    </w:p>
    <w:tbl>
      <w:tblPr>
        <w:tblW w:w="8856" w:type="dxa"/>
        <w:jc w:val="start"/>
        <w:tblInd w:w="0" w:type="dxa"/>
        <w:tblLayout w:type="fixed"/>
        <w:tblCellMar>
          <w:top w:w="0" w:type="dxa"/>
          <w:start w:w="108" w:type="dxa"/>
          <w:bottom w:w="0" w:type="dxa"/>
          <w:end w:w="108" w:type="dxa"/>
        </w:tblCellMar>
      </w:tblPr>
      <w:tblGrid>
        <w:gridCol w:w="2268"/>
        <w:gridCol w:w="6588"/>
      </w:tblGrid>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20"/>
              <w:rPr/>
            </w:pPr>
            <w:r>
              <w:rPr/>
              <w:t>NA</w:t>
            </w:r>
          </w:p>
        </w:tc>
        <w:tc>
          <w:tcPr>
            <w:tcW w:w="658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20"/>
              <w:rPr/>
            </w:pPr>
            <w:r>
              <w:rPr/>
              <w:t>Special state indicating that the entity does not have approval rights over the request.</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20"/>
              <w:rPr/>
            </w:pPr>
            <w:r>
              <w:rPr/>
              <w:t>PENDING</w:t>
            </w:r>
          </w:p>
        </w:tc>
        <w:tc>
          <w:tcPr>
            <w:tcW w:w="658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20"/>
              <w:rPr/>
            </w:pPr>
            <w:r>
              <w:rPr/>
              <w:t>The message has been distributed and is awaiting processing by the Approver.</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20"/>
              <w:rPr/>
            </w:pPr>
            <w:r>
              <w:rPr/>
              <w:t>APPROVED</w:t>
            </w:r>
          </w:p>
        </w:tc>
        <w:tc>
          <w:tcPr>
            <w:tcW w:w="658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20"/>
              <w:rPr/>
            </w:pPr>
            <w:r>
              <w:rPr/>
              <w:t>The approver, either actively or passively, has agreed to implement the request.</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20"/>
              <w:rPr/>
            </w:pPr>
            <w:r>
              <w:rPr/>
              <w:t>REFUSED</w:t>
            </w:r>
          </w:p>
        </w:tc>
        <w:tc>
          <w:tcPr>
            <w:tcW w:w="658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20"/>
              <w:rPr/>
            </w:pPr>
            <w:r>
              <w:rPr/>
              <w:t>The approver, either actively or passively, has decided not to implement the request.</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20"/>
              <w:rPr/>
            </w:pPr>
            <w:r>
              <w:rPr/>
              <w:t>STUDY</w:t>
            </w:r>
          </w:p>
        </w:tc>
        <w:tc>
          <w:tcPr>
            <w:tcW w:w="658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20"/>
              <w:rPr/>
            </w:pPr>
            <w:r>
              <w:rPr/>
              <w:t>The approver has actively decided to defer their decision to approve or deny until a later time within their approval window, but wishes to communicate their acknowledgement of the request back to the sender.</w:t>
            </w:r>
          </w:p>
        </w:tc>
      </w:tr>
    </w:tbl>
    <w:p>
      <w:pPr>
        <w:pStyle w:val="HTMLBody"/>
        <w:rPr>
          <w:rFonts w:ascii="Arial" w:hAnsi="Arial" w:cs="Arial"/>
        </w:rPr>
      </w:pPr>
      <w:r>
        <w:rPr>
          <w:rFonts w:cs="Arial" w:ascii="Arial" w:hAnsi="Arial"/>
        </w:rPr>
      </w:r>
    </w:p>
    <w:p>
      <w:pPr>
        <w:pStyle w:val="Normal"/>
        <w:rPr/>
      </w:pPr>
      <w:r>
        <w:rPr/>
        <w:t>Finally, Approval State Types specify how the Approval State was derived.  There are four specific approval state types:</w:t>
      </w:r>
    </w:p>
    <w:tbl>
      <w:tblPr>
        <w:tblW w:w="8856" w:type="dxa"/>
        <w:jc w:val="start"/>
        <w:tblInd w:w="0" w:type="dxa"/>
        <w:tblLayout w:type="fixed"/>
        <w:tblCellMar>
          <w:top w:w="0" w:type="dxa"/>
          <w:start w:w="108" w:type="dxa"/>
          <w:bottom w:w="0" w:type="dxa"/>
          <w:end w:w="108" w:type="dxa"/>
        </w:tblCellMar>
      </w:tblPr>
      <w:tblGrid>
        <w:gridCol w:w="2268"/>
        <w:gridCol w:w="6588"/>
      </w:tblGrid>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20"/>
              <w:rPr/>
            </w:pPr>
            <w:r>
              <w:rPr/>
              <w:t>NA</w:t>
            </w:r>
          </w:p>
        </w:tc>
        <w:tc>
          <w:tcPr>
            <w:tcW w:w="658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20"/>
              <w:rPr/>
            </w:pPr>
            <w:r>
              <w:rPr/>
              <w:t>Not Applicable – The current state is neither active nor passive</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20"/>
              <w:rPr/>
            </w:pPr>
            <w:r>
              <w:rPr/>
              <w:t>ACTIVE</w:t>
            </w:r>
          </w:p>
        </w:tc>
        <w:tc>
          <w:tcPr>
            <w:tcW w:w="658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20"/>
              <w:rPr/>
            </w:pPr>
            <w:r>
              <w:rPr/>
              <w:t>The provider has specifically indicated their willingness or unwillingness to implement a particular request</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20"/>
              <w:rPr/>
            </w:pPr>
            <w:r>
              <w:rPr/>
              <w:t>PASSIVE</w:t>
            </w:r>
          </w:p>
        </w:tc>
        <w:tc>
          <w:tcPr>
            <w:tcW w:w="658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20"/>
              <w:rPr/>
            </w:pPr>
            <w:r>
              <w:rPr/>
              <w:t>The provider was unable to state their intentions within a reasonable amount of time and the system has made an automated decision on their behalf</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20"/>
              <w:rPr/>
            </w:pPr>
            <w:r>
              <w:rPr/>
              <w:t>OVERRIDE</w:t>
            </w:r>
          </w:p>
        </w:tc>
        <w:tc>
          <w:tcPr>
            <w:tcW w:w="658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20"/>
              <w:rPr/>
            </w:pPr>
            <w:r>
              <w:rPr/>
              <w:t>The state was manually overridden by the entity providing the Authority.</w:t>
            </w:r>
          </w:p>
        </w:tc>
      </w:tr>
    </w:tbl>
    <w:p>
      <w:pPr>
        <w:pStyle w:val="Normal"/>
        <w:rPr/>
      </w:pPr>
      <w:r>
        <w:rPr/>
      </w:r>
    </w:p>
    <w:p>
      <w:pPr>
        <w:pStyle w:val="Heading2"/>
        <w:spacing w:before="0" w:after="220"/>
        <w:ind w:hanging="0" w:start="0"/>
        <w:rPr>
          <w:rFonts w:cs="Arial"/>
          <w:bCs/>
          <w:iCs/>
        </w:rPr>
      </w:pPr>
      <w:r>
        <w:rPr>
          <w:rFonts w:cs="Arial"/>
          <w:bCs/>
          <w:iCs/>
        </w:rPr>
        <w:t>Recovery Functions</w:t>
      </w:r>
    </w:p>
    <w:p>
      <w:pPr>
        <w:pStyle w:val="Normal"/>
        <w:rPr/>
      </w:pPr>
      <w:r>
        <w:rPr/>
        <w:t xml:space="preserve">E-Tag 1.7 Provides several new functions related to recovery from system failure.  These include tag retrievals when keys are unknown, summaries, and full message histories.  The details of these functions are contained within the </w:t>
      </w:r>
      <w:r>
        <w:rPr>
          <w:i/>
          <w:iCs/>
        </w:rPr>
        <w:t>Electronic Tagging – Functional Specification</w:t>
      </w:r>
      <w:r>
        <w:rPr/>
        <w:t xml:space="preserve"> document.</w:t>
      </w:r>
    </w:p>
    <w:p>
      <w:pPr>
        <w:pStyle w:val="Header"/>
        <w:tabs>
          <w:tab w:val="clear" w:pos="4320"/>
          <w:tab w:val="clear" w:pos="8640"/>
        </w:tabs>
        <w:rPr>
          <w:rFonts w:ascii="Arial" w:hAnsi="Arial" w:cs="Arial"/>
          <w:b/>
          <w:bCs/>
          <w:i/>
          <w:i/>
          <w:iCs/>
        </w:rPr>
      </w:pPr>
      <w:r>
        <w:rPr>
          <w:rFonts w:cs="Arial" w:ascii="Arial" w:hAnsi="Arial"/>
          <w:b/>
          <w:bCs/>
          <w:i/>
          <w:iCs/>
        </w:rPr>
        <w:t>Checkout Functions</w:t>
      </w:r>
    </w:p>
    <w:p>
      <w:pPr>
        <w:pStyle w:val="Normal"/>
        <w:rPr/>
      </w:pPr>
      <w:r>
        <w:rPr/>
        <w:t xml:space="preserve">E-Tag 1.7 Provides two new functions related to checkout: Checkout Exchange Nets, and Checkout Exchange Details.  </w:t>
      </w:r>
    </w:p>
    <w:p>
      <w:pPr>
        <w:pStyle w:val="Normal"/>
        <w:rPr/>
      </w:pPr>
      <w:r>
        <w:rPr/>
        <w:t xml:space="preserve">When an entity wants to check tagged exchange with other entities, it has its Approval or Agent query the other entity’s Approval or Agent for Exchange Nets. This query will provide the net exchange profile between the two entities, calculated based on the latest revision to each of the implemented tags known by the entities’ Approval or Agent.  </w:t>
      </w:r>
    </w:p>
    <w:p>
      <w:pPr>
        <w:pStyle w:val="Normal"/>
        <w:rPr/>
      </w:pPr>
      <w:r>
        <w:rPr/>
        <w:t xml:space="preserve">If more information is needed regarding the exchange contribution of individual tags, an entity can have its Approval or AgentAgent query the other entity’s Approval or AgentAgent for exchange details.  This query will provide the net exchange profile between the two entities, as defined above, and also the exchange profile for the latest revision to each of the implemented tags known by the entity’s Approval or AgentAgent.  </w:t>
      </w:r>
    </w:p>
    <w:p>
      <w:pPr>
        <w:pStyle w:val="Heading1"/>
        <w:ind w:hanging="0" w:start="0"/>
        <w:rPr/>
      </w:pPr>
      <w:r>
        <w:rPr/>
        <w:t>CHANGES TO DATA MODEL</w:t>
      </w:r>
    </w:p>
    <w:p>
      <w:pPr>
        <w:pStyle w:val="Normal"/>
        <w:rPr/>
      </w:pPr>
      <w:r>
        <w:rPr/>
      </w:r>
    </w:p>
    <w:p>
      <w:pPr>
        <w:pStyle w:val="Normal"/>
        <w:rPr/>
      </w:pPr>
      <w:r>
        <w:rPr/>
        <w:t>In this version of E-Tag, we have moved from the previous Comma-Separated Value (CSV) technology used in previous versions of E-Tag to a newer technology: eXtensible Mark-up Language (XML).  This technology lends itself well to complex relationships in data, and provides more flexibility in development as we move toward Electronic Scheduling.  As such, the entire data model has been completely re-written.  For those seeking detail on the new data model, please see the</w:t>
      </w:r>
      <w:r>
        <w:rPr>
          <w:i/>
        </w:rPr>
        <w:t xml:space="preserve"> Electronic Tagging - Functional Specifications</w:t>
      </w:r>
      <w:r>
        <w:rPr/>
        <w:t xml:space="preserve"> document.</w:t>
      </w:r>
    </w:p>
    <w:p>
      <w:pPr>
        <w:pStyle w:val="Heading1"/>
        <w:ind w:hanging="0" w:start="0"/>
        <w:rPr/>
      </w:pPr>
      <w:r>
        <w:rPr/>
        <w:t>OTHER ISSUES</w:t>
      </w:r>
    </w:p>
    <w:p>
      <w:pPr>
        <w:pStyle w:val="Heading2"/>
        <w:ind w:hanging="0" w:start="0"/>
        <w:rPr/>
      </w:pPr>
      <w:r>
        <w:rPr/>
        <w:t>Registration</w:t>
      </w:r>
    </w:p>
    <w:p>
      <w:pPr>
        <w:pStyle w:val="Normal"/>
        <w:rPr/>
      </w:pPr>
      <w:r>
        <w:rPr/>
        <w:t>Various sections of the</w:t>
      </w:r>
      <w:r>
        <w:rPr>
          <w:i/>
        </w:rPr>
        <w:t xml:space="preserve"> Electronic Tagging - Functional Specifications</w:t>
      </w:r>
      <w:r>
        <w:rPr/>
        <w:t xml:space="preserve"> document describe information that must be registered as part of the TSIN.COM re-registration process. All entities are encouraged to contact the NERC web site for information on the re-registration process. No entity will be allowed to submit tags unless he has properly registered at NERC.</w:t>
      </w:r>
    </w:p>
    <w:p>
      <w:pPr>
        <w:pStyle w:val="Normal"/>
        <w:rPr/>
      </w:pPr>
      <w:r>
        <w:rPr/>
        <w:t>The following describes who must register what information:</w:t>
      </w:r>
    </w:p>
    <w:tbl>
      <w:tblPr>
        <w:tblW w:w="8856" w:type="dxa"/>
        <w:jc w:val="start"/>
        <w:tblInd w:w="0" w:type="dxa"/>
        <w:tblLayout w:type="fixed"/>
        <w:tblCellMar>
          <w:top w:w="0" w:type="dxa"/>
          <w:start w:w="108" w:type="dxa"/>
          <w:bottom w:w="0" w:type="dxa"/>
          <w:end w:w="108" w:type="dxa"/>
        </w:tblCellMar>
      </w:tblPr>
      <w:tblGrid>
        <w:gridCol w:w="2268"/>
        <w:gridCol w:w="6588"/>
      </w:tblGrid>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20"/>
              <w:rPr/>
            </w:pPr>
            <w:r>
              <w:rPr/>
              <w:t>Generation Providing Entities</w:t>
            </w:r>
          </w:p>
        </w:tc>
        <w:tc>
          <w:tcPr>
            <w:tcW w:w="6588" w:type="dxa"/>
            <w:tcBorders>
              <w:top w:val="single" w:sz="4" w:space="0" w:color="000000"/>
              <w:start w:val="single" w:sz="4" w:space="0" w:color="000000"/>
              <w:bottom w:val="single" w:sz="4" w:space="0" w:color="000000"/>
              <w:end w:val="single" w:sz="4" w:space="0" w:color="000000"/>
            </w:tcBorders>
          </w:tcPr>
          <w:p>
            <w:pPr>
              <w:pStyle w:val="Normal"/>
              <w:spacing w:before="0" w:after="0"/>
              <w:rPr/>
            </w:pPr>
            <w:r>
              <w:rPr/>
              <w:t>Company registration</w:t>
            </w:r>
          </w:p>
          <w:p>
            <w:pPr>
              <w:pStyle w:val="Normal"/>
              <w:spacing w:before="0" w:after="0"/>
              <w:rPr/>
            </w:pPr>
            <w:r>
              <w:rPr/>
              <w:t>Agent Service</w:t>
            </w:r>
          </w:p>
          <w:p>
            <w:pPr>
              <w:pStyle w:val="Normal"/>
              <w:spacing w:before="0" w:after="0"/>
              <w:rPr/>
            </w:pPr>
            <w:r>
              <w:rPr/>
              <w:t>Approval Service</w:t>
            </w:r>
          </w:p>
          <w:p>
            <w:pPr>
              <w:pStyle w:val="Normal"/>
              <w:spacing w:before="0" w:after="0"/>
              <w:rPr/>
            </w:pPr>
            <w:r>
              <w:rPr/>
              <w:t>Generation points</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20"/>
              <w:rPr/>
            </w:pPr>
            <w:r>
              <w:rPr/>
              <w:t>Transmission Providers</w:t>
            </w:r>
          </w:p>
        </w:tc>
        <w:tc>
          <w:tcPr>
            <w:tcW w:w="6588" w:type="dxa"/>
            <w:tcBorders>
              <w:top w:val="single" w:sz="4" w:space="0" w:color="000000"/>
              <w:start w:val="single" w:sz="4" w:space="0" w:color="000000"/>
              <w:bottom w:val="single" w:sz="4" w:space="0" w:color="000000"/>
              <w:end w:val="single" w:sz="4" w:space="0" w:color="000000"/>
            </w:tcBorders>
          </w:tcPr>
          <w:p>
            <w:pPr>
              <w:pStyle w:val="Normal"/>
              <w:spacing w:before="0" w:after="0"/>
              <w:rPr/>
            </w:pPr>
            <w:r>
              <w:rPr/>
              <w:t>Company registration</w:t>
            </w:r>
          </w:p>
          <w:p>
            <w:pPr>
              <w:pStyle w:val="Normal"/>
              <w:spacing w:before="0" w:after="0"/>
              <w:rPr/>
            </w:pPr>
            <w:r>
              <w:rPr/>
              <w:t>Approval Service</w:t>
            </w:r>
          </w:p>
          <w:p>
            <w:pPr>
              <w:pStyle w:val="Normal"/>
              <w:spacing w:before="0" w:after="0"/>
              <w:rPr/>
            </w:pPr>
            <w:r>
              <w:rPr/>
              <w:t>PORs and PODs</w:t>
            </w:r>
          </w:p>
        </w:tc>
      </w:tr>
      <w:tr>
        <w:trPr/>
        <w:tc>
          <w:tcPr>
            <w:tcW w:w="226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pacing w:before="0" w:after="220"/>
              <w:rPr/>
            </w:pPr>
            <w:r>
              <w:rPr/>
              <w:t>Generation Only Control Areas</w:t>
            </w:r>
          </w:p>
        </w:tc>
        <w:tc>
          <w:tcPr>
            <w:tcW w:w="6588" w:type="dxa"/>
            <w:tcBorders>
              <w:top w:val="single" w:sz="4" w:space="0" w:color="000000"/>
              <w:start w:val="single" w:sz="4" w:space="0" w:color="000000"/>
              <w:bottom w:val="single" w:sz="4" w:space="0" w:color="000000"/>
              <w:end w:val="single" w:sz="4" w:space="0" w:color="000000"/>
            </w:tcBorders>
          </w:tcPr>
          <w:p>
            <w:pPr>
              <w:pStyle w:val="Normal"/>
              <w:spacing w:before="0" w:after="0"/>
              <w:rPr/>
            </w:pPr>
            <w:r>
              <w:rPr/>
              <w:t xml:space="preserve">Company registration </w:t>
            </w:r>
          </w:p>
          <w:p>
            <w:pPr>
              <w:pStyle w:val="Normal"/>
              <w:spacing w:before="0" w:after="0"/>
              <w:rPr/>
            </w:pPr>
            <w:r>
              <w:rPr/>
              <w:t xml:space="preserve">Agent Service </w:t>
            </w:r>
          </w:p>
          <w:p>
            <w:pPr>
              <w:pStyle w:val="Normal"/>
              <w:spacing w:before="0" w:after="0"/>
              <w:rPr/>
            </w:pPr>
            <w:r>
              <w:rPr/>
              <w:t>Approval Service</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20"/>
              <w:rPr/>
            </w:pPr>
            <w:r>
              <w:rPr/>
              <w:t>Control Areas with Load</w:t>
            </w:r>
          </w:p>
        </w:tc>
        <w:tc>
          <w:tcPr>
            <w:tcW w:w="6588" w:type="dxa"/>
            <w:tcBorders>
              <w:top w:val="single" w:sz="4" w:space="0" w:color="000000"/>
              <w:start w:val="single" w:sz="4" w:space="0" w:color="000000"/>
              <w:bottom w:val="single" w:sz="4" w:space="0" w:color="000000"/>
              <w:end w:val="single" w:sz="4" w:space="0" w:color="000000"/>
            </w:tcBorders>
          </w:tcPr>
          <w:p>
            <w:pPr>
              <w:pStyle w:val="Normal"/>
              <w:spacing w:before="0" w:after="0"/>
              <w:rPr/>
            </w:pPr>
            <w:r>
              <w:rPr/>
              <w:t>Company registration</w:t>
            </w:r>
          </w:p>
          <w:p>
            <w:pPr>
              <w:pStyle w:val="Normal"/>
              <w:spacing w:before="0" w:after="0"/>
              <w:rPr/>
            </w:pPr>
            <w:r>
              <w:rPr/>
              <w:t xml:space="preserve">Agent Service </w:t>
            </w:r>
          </w:p>
          <w:p>
            <w:pPr>
              <w:pStyle w:val="Normal"/>
              <w:spacing w:before="0" w:after="0"/>
              <w:rPr/>
            </w:pPr>
            <w:r>
              <w:rPr/>
              <w:t>Approval Service</w:t>
            </w:r>
          </w:p>
          <w:p>
            <w:pPr>
              <w:pStyle w:val="Normal"/>
              <w:spacing w:before="0" w:after="0"/>
              <w:rPr/>
            </w:pPr>
            <w:r>
              <w:rPr/>
              <w:t>Authority Service</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20"/>
              <w:rPr/>
            </w:pPr>
            <w:r>
              <w:rPr/>
              <w:t>All PSEs</w:t>
            </w:r>
          </w:p>
        </w:tc>
        <w:tc>
          <w:tcPr>
            <w:tcW w:w="6588" w:type="dxa"/>
            <w:tcBorders>
              <w:top w:val="single" w:sz="4" w:space="0" w:color="000000"/>
              <w:start w:val="single" w:sz="4" w:space="0" w:color="000000"/>
              <w:bottom w:val="single" w:sz="4" w:space="0" w:color="000000"/>
              <w:end w:val="single" w:sz="4" w:space="0" w:color="000000"/>
            </w:tcBorders>
          </w:tcPr>
          <w:p>
            <w:pPr>
              <w:pStyle w:val="Normal"/>
              <w:spacing w:before="0" w:after="0"/>
              <w:rPr/>
            </w:pPr>
            <w:r>
              <w:rPr/>
              <w:t>Company registration</w:t>
            </w:r>
          </w:p>
          <w:p>
            <w:pPr>
              <w:pStyle w:val="Normal"/>
              <w:spacing w:before="0" w:after="0"/>
              <w:rPr/>
            </w:pPr>
            <w:r>
              <w:rPr/>
              <w:t xml:space="preserve">Agent Service </w:t>
            </w:r>
          </w:p>
          <w:p>
            <w:pPr>
              <w:pStyle w:val="Normal"/>
              <w:spacing w:before="0" w:after="0"/>
              <w:rPr/>
            </w:pPr>
            <w:r>
              <w:rPr/>
              <w:t>Approval Service</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20"/>
              <w:rPr/>
            </w:pPr>
            <w:r>
              <w:rPr/>
              <w:t>Load Serving Entities</w:t>
            </w:r>
          </w:p>
        </w:tc>
        <w:tc>
          <w:tcPr>
            <w:tcW w:w="6588" w:type="dxa"/>
            <w:tcBorders>
              <w:top w:val="single" w:sz="4" w:space="0" w:color="000000"/>
              <w:start w:val="single" w:sz="4" w:space="0" w:color="000000"/>
              <w:bottom w:val="single" w:sz="4" w:space="0" w:color="000000"/>
              <w:end w:val="single" w:sz="4" w:space="0" w:color="000000"/>
            </w:tcBorders>
          </w:tcPr>
          <w:p>
            <w:pPr>
              <w:pStyle w:val="Normal"/>
              <w:spacing w:before="0" w:after="0"/>
              <w:rPr/>
            </w:pPr>
            <w:r>
              <w:rPr/>
              <w:t xml:space="preserve">Company registration </w:t>
            </w:r>
          </w:p>
          <w:p>
            <w:pPr>
              <w:pStyle w:val="Normal"/>
              <w:spacing w:before="0" w:after="0"/>
              <w:rPr/>
            </w:pPr>
            <w:r>
              <w:rPr/>
              <w:t>Agent Service</w:t>
            </w:r>
          </w:p>
          <w:p>
            <w:pPr>
              <w:pStyle w:val="Normal"/>
              <w:spacing w:before="0" w:after="0"/>
              <w:rPr/>
            </w:pPr>
            <w:r>
              <w:rPr/>
              <w:t>Load Points</w:t>
            </w:r>
          </w:p>
        </w:tc>
      </w:tr>
    </w:tbl>
    <w:p>
      <w:pPr>
        <w:pStyle w:val="Normal"/>
        <w:rPr/>
      </w:pPr>
      <w:r>
        <w:rPr/>
      </w:r>
    </w:p>
    <w:p>
      <w:pPr>
        <w:pStyle w:val="Heading2"/>
        <w:ind w:hanging="0" w:start="0"/>
        <w:rPr/>
      </w:pPr>
      <w:r>
        <w:rPr/>
        <w:t>Comments and Questions</w:t>
      </w:r>
    </w:p>
    <w:p>
      <w:pPr>
        <w:pStyle w:val="Normal"/>
        <w:rPr/>
      </w:pPr>
      <w:r>
        <w:rPr/>
        <w:t>All comments and questions can be directed to the tisforum mailing list:</w:t>
      </w:r>
    </w:p>
    <w:p>
      <w:pPr>
        <w:pStyle w:val="Normal"/>
        <w:rPr/>
      </w:pPr>
      <w:hyperlink r:id="rId10">
        <w:r>
          <w:rPr>
            <w:rStyle w:val="Hyperlink"/>
          </w:rPr>
          <w:t>tisforum@nerc.com</w:t>
        </w:r>
      </w:hyperlink>
      <w:r>
        <w:rPr/>
        <w:t>.</w:t>
      </w:r>
    </w:p>
    <w:p>
      <w:pPr>
        <w:pStyle w:val="Normal"/>
        <w:rPr/>
      </w:pPr>
      <w:r>
        <w:rPr/>
        <w:t>For info on how to subscribe to that mailing list go to:</w:t>
      </w:r>
    </w:p>
    <w:p>
      <w:pPr>
        <w:pStyle w:val="Normal"/>
        <w:rPr/>
      </w:pPr>
      <w:hyperlink r:id="rId11">
        <w:r>
          <w:rPr>
            <w:rStyle w:val="Hyperlink"/>
          </w:rPr>
          <w:t>http://www.nerc.com/~oc/tisform.html</w:t>
        </w:r>
      </w:hyperlink>
      <w:r>
        <w:rPr/>
        <w:t>.</w:t>
      </w:r>
    </w:p>
    <w:p>
      <w:pPr>
        <w:pStyle w:val="Normal"/>
        <w:spacing w:before="0" w:after="220"/>
        <w:rPr/>
      </w:pPr>
      <w:r>
        <w:rPr/>
      </w:r>
    </w:p>
    <w:sectPr>
      <w:headerReference w:type="default" r:id="rId12"/>
      <w:footerReference w:type="default" r:id="rId1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4" w:space="1" w:color="000000"/>
      </w:pBdr>
      <w:rPr>
        <w:rStyle w:val="PageNumber"/>
      </w:rPr>
    </w:pPr>
    <w:r>
      <w:rPr/>
    </w:r>
  </w:p>
  <w:p>
    <w:pPr>
      <w:pStyle w:val="Footer"/>
      <w:spacing w:before="0" w:after="220"/>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ab/>
      <w:t>February 24,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2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spacing w:before="120" w:after="0"/>
      <w:outlineLvl w:val="0"/>
    </w:pPr>
    <w:rPr>
      <w:rFonts w:ascii="Arial" w:hAnsi="Arial" w:cs="Arial"/>
      <w:b/>
      <w:sz w:val="28"/>
    </w:rPr>
  </w:style>
  <w:style w:type="paragraph" w:styleId="Heading2">
    <w:name w:val="heading 2"/>
    <w:basedOn w:val="Normal"/>
    <w:next w:val="Normal"/>
    <w:qFormat/>
    <w:pPr>
      <w:keepNext w:val="true"/>
      <w:numPr>
        <w:ilvl w:val="1"/>
        <w:numId w:val="1"/>
      </w:numPr>
      <w:spacing w:before="120" w:after="0"/>
      <w:outlineLvl w:val="1"/>
    </w:pPr>
    <w:rPr>
      <w:rFonts w:ascii="Arial" w:hAnsi="Arial" w:cs="Arial"/>
      <w:b/>
      <w:i/>
    </w:rPr>
  </w:style>
  <w:style w:type="paragraph" w:styleId="Heading3">
    <w:name w:val="heading 3"/>
    <w:basedOn w:val="Normal"/>
    <w:next w:val="Normal"/>
    <w:qFormat/>
    <w:pPr>
      <w:keepNext w:val="true"/>
      <w:numPr>
        <w:ilvl w:val="2"/>
        <w:numId w:val="1"/>
      </w:numPr>
      <w:outlineLvl w:val="2"/>
    </w:pPr>
    <w:rPr>
      <w:rFonts w:ascii="Arial" w:hAnsi="Arial" w:cs="Arial"/>
      <w:b/>
    </w:rPr>
  </w:style>
  <w:style w:type="paragraph" w:styleId="Heading4">
    <w:name w:val="heading 4"/>
    <w:basedOn w:val="Normal"/>
    <w:next w:val="Normal"/>
    <w:qFormat/>
    <w:pPr>
      <w:keepNext w:val="true"/>
      <w:numPr>
        <w:ilvl w:val="3"/>
        <w:numId w:val="1"/>
      </w:numPr>
      <w:jc w:val="center"/>
      <w:outlineLvl w:val="3"/>
    </w:pPr>
    <w:rPr>
      <w:rFonts w:ascii="Arial" w:hAnsi="Arial" w:cs="Arial"/>
      <w:b/>
      <w:bCs/>
      <w:sz w:val="24"/>
    </w:rPr>
  </w:style>
  <w:style w:type="paragraph" w:styleId="Heading5">
    <w:name w:val="heading 5"/>
    <w:basedOn w:val="Normal"/>
    <w:next w:val="Normal"/>
    <w:qFormat/>
    <w:pPr>
      <w:keepNext w:val="true"/>
      <w:numPr>
        <w:ilvl w:val="4"/>
        <w:numId w:val="1"/>
      </w:numPr>
      <w:jc w:val="center"/>
      <w:outlineLvl w:val="4"/>
    </w:pPr>
    <w:rPr>
      <w:rFonts w:ascii="Arial" w:hAnsi="Arial" w:cs="Arial"/>
      <w:b/>
      <w:bCs/>
      <w:sz w:val="16"/>
    </w:rPr>
  </w:style>
  <w:style w:type="paragraph" w:styleId="Heading6">
    <w:name w:val="heading 6"/>
    <w:basedOn w:val="Normal"/>
    <w:next w:val="Normal"/>
    <w:qFormat/>
    <w:pPr>
      <w:numPr>
        <w:ilvl w:val="5"/>
        <w:numId w:val="1"/>
      </w:numPr>
      <w:spacing w:before="240" w:after="60"/>
      <w:outlineLvl w:val="5"/>
    </w:pPr>
    <w:rPr>
      <w:rFonts w:ascii="Arial" w:hAnsi="Arial" w:cs="Arial"/>
      <w:b/>
      <w:bCs/>
      <w:i/>
      <w:szCs w:val="22"/>
    </w:rPr>
  </w:style>
  <w:style w:type="paragraph" w:styleId="Heading7">
    <w:name w:val="heading 7"/>
    <w:basedOn w:val="Normal"/>
    <w:next w:val="Normal"/>
    <w:qFormat/>
    <w:pPr>
      <w:numPr>
        <w:ilvl w:val="6"/>
        <w:numId w:val="1"/>
      </w:numPr>
      <w:spacing w:before="240" w:after="60"/>
      <w:outlineLvl w:val="6"/>
    </w:pPr>
    <w:rPr>
      <w:rFonts w:ascii="Arial" w:hAnsi="Arial" w:cs="Arial"/>
      <w:b/>
      <w:sz w:val="20"/>
      <w:szCs w:val="24"/>
    </w:rPr>
  </w:style>
  <w:style w:type="paragraph" w:styleId="Heading8">
    <w:name w:val="heading 8"/>
    <w:basedOn w:val="Normal"/>
    <w:next w:val="Normal"/>
    <w:qFormat/>
    <w:pPr>
      <w:numPr>
        <w:ilvl w:val="7"/>
        <w:numId w:val="1"/>
      </w:numPr>
      <w:spacing w:before="240" w:after="60"/>
      <w:outlineLvl w:val="7"/>
    </w:pPr>
    <w:rPr>
      <w:rFonts w:ascii="Arial" w:hAnsi="Arial" w:cs="Arial"/>
      <w:b/>
      <w:i/>
      <w:iCs/>
      <w:sz w:val="20"/>
      <w:szCs w:val="24"/>
    </w:rPr>
  </w:style>
  <w:style w:type="paragraph" w:styleId="Heading9">
    <w:name w:val="heading 9"/>
    <w:basedOn w:val="Normal"/>
    <w:next w:val="Normal"/>
    <w:qFormat/>
    <w:pPr>
      <w:numPr>
        <w:ilvl w:val="8"/>
        <w:numId w:val="1"/>
      </w:numPr>
      <w:spacing w:before="240" w:after="60"/>
      <w:outlineLvl w:val="8"/>
    </w:pPr>
    <w:rPr>
      <w:rFonts w:ascii="Arial" w:hAnsi="Arial" w:cs="Arial"/>
      <w:i/>
      <w:sz w:val="20"/>
      <w:szCs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TMLBody">
    <w:name w:val="HTML Body"/>
    <w:qFormat/>
    <w:pPr>
      <w:widowControl/>
      <w:bidi w:val="0"/>
    </w:pPr>
    <w:rPr>
      <w:rFonts w:ascii="Courier New" w:hAnsi="Courier New" w:eastAsia="Times New Roman" w:cs="Courier New"/>
      <w:color w:val="auto"/>
      <w:sz w:val="20"/>
      <w:szCs w:val="20"/>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wmf"/><Relationship Id="rId10" Type="http://schemas.openxmlformats.org/officeDocument/2006/relationships/hyperlink" Target="mailto:tisforum@nerc.com" TargetMode="External"/><Relationship Id="rId11" Type="http://schemas.openxmlformats.org/officeDocument/2006/relationships/hyperlink" Target="http://www.nerc.com/~oc/tisform.html"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2001-05-20T19:16:00Z</dcterms:created>
  <dc:creator>Joel J. Dison</dc:creator>
  <dc:description/>
  <dc:language>en-CA</dc:language>
  <cp:lastModifiedBy>arodriqu</cp:lastModifiedBy>
  <cp:lastPrinted>2000-02-28T08:48:00Z</cp:lastPrinted>
  <dcterms:modified xsi:type="dcterms:W3CDTF">2001-05-20T19:23:00Z</dcterms:modified>
  <cp:revision>3</cp:revision>
  <dc:subject/>
  <dc:title>WHAT'S NEW</dc:title>
</cp:coreProperties>
</file>