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Inability of NERC to enforce Policy 5 compliance with AEP/Cinergy Inadvertent</w:t>
      </w:r>
    </w:p>
    <w:p>
      <w:pPr>
        <w:pStyle w:val="Normal"/>
        <w:rPr/>
      </w:pPr>
      <w:r>
        <w:rPr/>
      </w:r>
    </w:p>
    <w:p>
      <w:pPr>
        <w:pStyle w:val="Heading1"/>
        <w:rPr/>
      </w:pPr>
      <w:r>
        <w:rPr/>
        <w:t>July 1999 Inadvertent Data</w:t>
      </w:r>
    </w:p>
    <w:p>
      <w:pPr>
        <w:pStyle w:val="Normal"/>
        <w:ind w:start="720" w:end="0"/>
        <w:rPr/>
      </w:pPr>
      <w:r>
        <w:rPr/>
      </w:r>
    </w:p>
    <w:p>
      <w:pPr>
        <w:pStyle w:val="Normal"/>
        <w:ind w:start="720" w:end="0"/>
        <w:rPr/>
      </w:pPr>
      <w:r>
        <w:rPr/>
        <w:tab/>
        <w:t xml:space="preserve">CINergy accumulated 9,907MWH of negative inadvertent during the month of July.  This energy represents energy they were supposed to generate, but did not.  Based on the </w:t>
      </w:r>
      <w:r>
        <w:rPr>
          <w:i/>
          <w:iCs/>
        </w:rPr>
        <w:t>average</w:t>
      </w:r>
      <w:r>
        <w:rPr/>
        <w:t xml:space="preserve"> price of power in CINergy for July, this translates to $2.86m.  However, their infractions occurred at times where power prices were high, with daily averages ranging from $160 per MW to $1,720 per MW.  Based on these numbers, the value of the inadvertent energy was closer to $7.45m.</w:t>
      </w:r>
    </w:p>
    <w:p>
      <w:pPr>
        <w:pStyle w:val="Normal"/>
        <w:ind w:start="720" w:end="0"/>
        <w:rPr/>
      </w:pPr>
      <w:r>
        <w:rPr/>
        <w:t xml:space="preserve">  </w:t>
      </w:r>
    </w:p>
    <w:p>
      <w:pPr>
        <w:pStyle w:val="Normal"/>
        <w:ind w:start="720" w:end="0"/>
        <w:rPr/>
      </w:pPr>
      <w:r>
        <w:rPr/>
        <w:tab/>
        <w:t>NERC’s response to this situation was issuing the following two resolutions at the November 1999 Operating Committee meeting:</w:t>
      </w:r>
    </w:p>
    <w:p>
      <w:pPr>
        <w:pStyle w:val="Normal"/>
        <w:rPr/>
      </w:pPr>
      <w:r>
        <w:rPr/>
      </w:r>
    </w:p>
    <w:p>
      <w:pPr>
        <w:pStyle w:val="BodyTextIndent"/>
        <w:rPr/>
      </w:pPr>
      <w:r>
        <w:rPr/>
        <w:t>“</w:t>
      </w:r>
      <w:r>
        <w:rPr/>
        <w:t>Be it resolved that NERC shall monitor and collect real-time Area Control Error data for all Control Areas effective on May 1, 2000. NERC should accomplish this monitoring through the Regional Councils or their Security Coordinators.”</w:t>
      </w:r>
    </w:p>
    <w:p>
      <w:pPr>
        <w:pStyle w:val="BodyTextIndent"/>
        <w:rPr/>
      </w:pPr>
      <w:r>
        <w:rPr/>
      </w:r>
    </w:p>
    <w:p>
      <w:pPr>
        <w:pStyle w:val="Normal"/>
        <w:autoSpaceDE w:val="false"/>
        <w:ind w:start="720" w:end="0"/>
        <w:rPr>
          <w:sz w:val="22"/>
          <w:szCs w:val="22"/>
        </w:rPr>
      </w:pPr>
      <w:r>
        <w:rPr>
          <w:sz w:val="22"/>
          <w:szCs w:val="22"/>
        </w:rPr>
        <w:t>“</w:t>
      </w:r>
      <w:r>
        <w:rPr>
          <w:sz w:val="22"/>
          <w:szCs w:val="22"/>
        </w:rPr>
        <w:t>Be it resolved that the Security Committee condemns the actions of Control Areas who intentionally use inadvertent in lieu of adjusting their generation, load, or scheduled interchange. Furthermore, the Security Committee is extremely concerned with the unacceptable operation by one or more Control Areas during the period July 22–30, 1999, and furthermore, the Security Committee endorses the ECAR Executive Board’s actions to mitigate this unacceptable operation within the ECAR Region.”</w:t>
      </w:r>
    </w:p>
    <w:p>
      <w:pPr>
        <w:pStyle w:val="Normal"/>
        <w:autoSpaceDE w:val="false"/>
        <w:ind w:start="720" w:end="0"/>
        <w:rPr>
          <w:sz w:val="22"/>
          <w:szCs w:val="22"/>
        </w:rPr>
      </w:pPr>
      <w:r>
        <w:rPr>
          <w:sz w:val="22"/>
          <w:szCs w:val="22"/>
        </w:rPr>
      </w:r>
    </w:p>
    <w:p>
      <w:pPr>
        <w:pStyle w:val="Normal"/>
        <w:autoSpaceDE w:val="false"/>
        <w:ind w:start="720" w:end="0"/>
        <w:rPr>
          <w:sz w:val="22"/>
          <w:szCs w:val="22"/>
        </w:rPr>
      </w:pPr>
      <w:r>
        <w:rPr>
          <w:sz w:val="22"/>
          <w:szCs w:val="22"/>
        </w:rPr>
        <w:t>The ECAR Executive Board’s actions were as follows:</w:t>
      </w:r>
    </w:p>
    <w:p>
      <w:pPr>
        <w:pStyle w:val="Normal"/>
        <w:numPr>
          <w:ilvl w:val="0"/>
          <w:numId w:val="2"/>
        </w:numPr>
        <w:autoSpaceDE w:val="false"/>
        <w:rPr>
          <w:sz w:val="22"/>
          <w:szCs w:val="22"/>
        </w:rPr>
      </w:pPr>
      <w:r>
        <w:rPr>
          <w:sz w:val="22"/>
          <w:szCs w:val="22"/>
        </w:rPr>
        <w:t>Deliver reprimand letters as appropriate</w:t>
      </w:r>
    </w:p>
    <w:p>
      <w:pPr>
        <w:pStyle w:val="Normal"/>
        <w:numPr>
          <w:ilvl w:val="0"/>
          <w:numId w:val="2"/>
        </w:numPr>
        <w:autoSpaceDE w:val="false"/>
        <w:rPr>
          <w:sz w:val="22"/>
          <w:szCs w:val="22"/>
        </w:rPr>
      </w:pPr>
      <w:r>
        <w:rPr>
          <w:sz w:val="22"/>
          <w:szCs w:val="22"/>
        </w:rPr>
        <w:t>Develop a sanction mechanism no later than Summer 2000</w:t>
      </w:r>
    </w:p>
    <w:p>
      <w:pPr>
        <w:pStyle w:val="Normal"/>
        <w:numPr>
          <w:ilvl w:val="0"/>
          <w:numId w:val="2"/>
        </w:numPr>
        <w:autoSpaceDE w:val="false"/>
        <w:rPr>
          <w:sz w:val="22"/>
          <w:szCs w:val="22"/>
        </w:rPr>
      </w:pPr>
      <w:r>
        <w:rPr>
          <w:sz w:val="22"/>
          <w:szCs w:val="22"/>
        </w:rPr>
        <w:t>Ask NERC to address the issue</w:t>
      </w:r>
    </w:p>
    <w:p>
      <w:pPr>
        <w:pStyle w:val="Normal"/>
        <w:numPr>
          <w:ilvl w:val="0"/>
          <w:numId w:val="2"/>
        </w:numPr>
        <w:autoSpaceDE w:val="false"/>
        <w:rPr>
          <w:sz w:val="22"/>
          <w:szCs w:val="22"/>
        </w:rPr>
      </w:pPr>
      <w:r>
        <w:rPr>
          <w:sz w:val="22"/>
          <w:szCs w:val="22"/>
        </w:rPr>
        <w:t>Develop a procedure for decertifying a Control Area</w:t>
      </w:r>
    </w:p>
    <w:p>
      <w:pPr>
        <w:pStyle w:val="Normal"/>
        <w:numPr>
          <w:ilvl w:val="0"/>
          <w:numId w:val="2"/>
        </w:numPr>
        <w:autoSpaceDE w:val="false"/>
        <w:rPr>
          <w:sz w:val="22"/>
          <w:szCs w:val="22"/>
        </w:rPr>
      </w:pPr>
      <w:r>
        <w:rPr>
          <w:sz w:val="22"/>
          <w:szCs w:val="22"/>
        </w:rPr>
        <w:t>Review the ECAR Coordination Agreement for needed changes</w:t>
      </w:r>
    </w:p>
    <w:p>
      <w:pPr>
        <w:pStyle w:val="Normal"/>
        <w:autoSpaceDE w:val="false"/>
        <w:ind w:start="720" w:end="0"/>
        <w:rPr>
          <w:sz w:val="22"/>
          <w:szCs w:val="22"/>
        </w:rPr>
      </w:pPr>
      <w:r>
        <w:rPr>
          <w:sz w:val="22"/>
          <w:szCs w:val="22"/>
        </w:rPr>
      </w:r>
    </w:p>
    <w:p>
      <w:pPr>
        <w:pStyle w:val="Normal"/>
        <w:autoSpaceDE w:val="false"/>
        <w:ind w:start="720" w:end="0"/>
        <w:rPr/>
      </w:pPr>
      <w:r>
        <w:rPr/>
        <w:t>Currently, it appears real-time ACE data is not being collected.  The 2001 Inadvertent accounting reports are approximately 5-7 months behind schedule (the last Eastern report was filed for March; for the West, January).  ECAR’s sanction procedure is in place; it provides for a maximum of $10 per MWH of penalties for the most severe violations made by repeat offenders.  It should be noted that this is equal to less than 4% of the average cost of power during the time of the July incidents, and less than 1% of the highest average daily cost on July 19, 1999.  In other words, the maximum penalty that could have been imposed had this system been in place would have been $99,070.</w:t>
      </w:r>
    </w:p>
    <w:p>
      <w:pPr>
        <w:pStyle w:val="Normal"/>
        <w:rPr/>
      </w:pPr>
      <w:r>
        <w:rPr/>
      </w:r>
    </w:p>
    <w:p>
      <w:pPr>
        <w:pStyle w:val="Normal"/>
        <w:rPr/>
      </w:pPr>
      <w:r>
        <w:rPr/>
      </w:r>
    </w:p>
    <w:p>
      <w:pPr>
        <w:pStyle w:val="Heading3"/>
        <w:ind w:hanging="0" w:start="0"/>
        <w:rPr>
          <w:i/>
          <w:i/>
          <w:iCs/>
        </w:rPr>
      </w:pPr>
      <w:r>
        <w:rPr>
          <w:i/>
          <w:iCs/>
        </w:rPr>
        <w:t>Inability of NERC to Set Standards</w:t>
      </w:r>
    </w:p>
    <w:p>
      <w:pPr>
        <w:pStyle w:val="Normal"/>
        <w:ind w:start="720" w:end="0"/>
        <w:rPr>
          <w:b/>
          <w:bCs/>
          <w:i/>
          <w:i/>
          <w:iCs/>
        </w:rPr>
      </w:pPr>
      <w:r>
        <w:rPr>
          <w:b/>
          <w:bCs/>
          <w:i/>
          <w:iCs/>
        </w:rPr>
      </w:r>
    </w:p>
    <w:p>
      <w:pPr>
        <w:pStyle w:val="Heading1"/>
        <w:rPr/>
      </w:pPr>
      <w:r>
        <w:rPr/>
        <w:t>Initial E-Tag Implementation</w:t>
      </w:r>
    </w:p>
    <w:p>
      <w:pPr>
        <w:pStyle w:val="Normal"/>
        <w:ind w:start="720" w:end="0"/>
        <w:rPr/>
      </w:pPr>
      <w:r>
        <w:rPr/>
      </w:r>
    </w:p>
    <w:p>
      <w:pPr>
        <w:pStyle w:val="Normal"/>
        <w:ind w:start="720" w:end="0"/>
        <w:rPr/>
      </w:pPr>
      <w:r>
        <w:rPr/>
        <w:t xml:space="preserve">With the creation of Electronic Tagging, NERC implemented a new approach to software tools development: NERC would create a software specification (similar in form to the OASIS S&amp;CP document) and allow vendors to develop tools around that specification.  NERC would not offer any such tools directly.  This approach seemed to be in everyone’s best interest, providing economic incentives to software developers to write better products.  </w:t>
      </w:r>
    </w:p>
    <w:p>
      <w:pPr>
        <w:pStyle w:val="Normal"/>
        <w:ind w:start="720" w:end="0"/>
        <w:rPr/>
      </w:pPr>
      <w:r>
        <w:rPr/>
      </w:r>
    </w:p>
    <w:p>
      <w:pPr>
        <w:pStyle w:val="Normal"/>
        <w:ind w:start="720" w:end="0"/>
        <w:rPr/>
      </w:pPr>
      <w:r>
        <w:rPr/>
        <w:t>Unfortunately, the results have not been as predicted.  To begin with, NERC was unwilling to provide or even endorse any public testing of such software systems for performance or compliance, citing concerns that they would be exposed to legal risk by so doing.  This lack of recognition for the seriousness of the technical issues surrounding E-Tag has led to numerous problems.</w:t>
      </w:r>
    </w:p>
    <w:p>
      <w:pPr>
        <w:pStyle w:val="Normal"/>
        <w:ind w:start="720" w:end="0"/>
        <w:rPr/>
      </w:pPr>
      <w:r>
        <w:rPr/>
      </w:r>
    </w:p>
    <w:p>
      <w:pPr>
        <w:pStyle w:val="Normal"/>
        <w:ind w:start="720" w:end="0"/>
        <w:rPr/>
      </w:pPr>
      <w:r>
        <w:rPr/>
        <w:t>During the development of E-Tag, there were initially almost 10 vendors.  Of these vendors, only two were able to pass closed-session tests of their software.  NERC’s refusal to let this information be known led to several companies purchasing software systems that simply did not work.  This, in turn, delayed the implementation of such systems until several months after their initial implementation date.  Further, even after the implementation, problems with communications and reliability plagued the system for several months.</w:t>
      </w:r>
    </w:p>
    <w:p>
      <w:pPr>
        <w:pStyle w:val="Normal"/>
        <w:ind w:start="720" w:end="0"/>
        <w:rPr/>
      </w:pPr>
      <w:r>
        <w:rPr/>
      </w:r>
    </w:p>
    <w:p>
      <w:pPr>
        <w:pStyle w:val="Normal"/>
        <w:ind w:start="720" w:end="0"/>
        <w:rPr/>
      </w:pPr>
      <w:r>
        <w:rPr/>
        <w:t>Continued existence of these problems has led the industry to pursue a simple solution: by interacting with only one vendor, such communications problems are eliminated.  To that end, NERC has effectively (although inadvertently) set up a monopoly.  That  vendor has become the de facto standard for the industry.  Coincidentally, NERC has several contracts in place with that vendor in which NERC is a customer.</w:t>
      </w:r>
    </w:p>
    <w:p>
      <w:pPr>
        <w:pStyle w:val="Normal"/>
        <w:ind w:start="720" w:end="0"/>
        <w:rPr/>
      </w:pPr>
      <w:r>
        <w:rPr/>
      </w:r>
    </w:p>
    <w:p>
      <w:pPr>
        <w:pStyle w:val="Heading1"/>
        <w:rPr/>
      </w:pPr>
      <w:r>
        <w:rPr/>
        <w:t>E-Tag Compliance</w:t>
      </w:r>
    </w:p>
    <w:p>
      <w:pPr>
        <w:pStyle w:val="Normal"/>
        <w:ind w:start="720" w:end="0"/>
        <w:rPr>
          <w:b/>
          <w:bCs/>
        </w:rPr>
      </w:pPr>
      <w:r>
        <w:rPr>
          <w:b/>
          <w:bCs/>
        </w:rPr>
      </w:r>
    </w:p>
    <w:p>
      <w:pPr>
        <w:pStyle w:val="Normal"/>
        <w:ind w:start="720" w:end="0"/>
        <w:rPr/>
      </w:pPr>
      <w:r>
        <w:rPr/>
        <w:t xml:space="preserve">Following the implementation of E-Tag, several instances have arisen where vendors have flagrantly disobeyed requirements of the E-tag specification and NERC Policy to their own end.  Some notable examples include distributing electronic tags to parties in violation of confidentiality requirements in NERC’s Policy 3, refusal to provide mandated test functionalities that would allow other entities to verify communications failures, and sending spurious tag requests to other entities in order to discern their system availability.  In all events, NERC has had these issues brought to their attention.  In all events, NERC has approached the vendors with these transgressions.  And, in all events, NERC has backed down from these breaches of Policy and instead chosen to look the other way.  </w:t>
      </w:r>
    </w:p>
    <w:p>
      <w:pPr>
        <w:pStyle w:val="Normal"/>
        <w:ind w:start="720" w:end="0"/>
        <w:rPr/>
      </w:pPr>
      <w:r>
        <w:rPr/>
      </w:r>
    </w:p>
    <w:p>
      <w:pPr>
        <w:pStyle w:val="Normal"/>
        <w:ind w:start="720" w:end="0"/>
        <w:rPr/>
      </w:pPr>
      <w:r>
        <w:rPr/>
        <w:t xml:space="preserve">NERC will claim they have worked with vendors and achieved resolutions.  This is not true, unless such resolutions can be defined as NERC capitulating.  In all cases, the vendor either 1.) prevaricated and indicated the problem didn’t exist, letting NERC off the hook, or 2.) refused to take any corrective action, instead claiming that their customers were choosing to violate requirements and that they were simply the unwitting accomplice.  In fact, vendors have acted several times to reinforce their positions by supplying false information to their clients in order to gain their customers support.  </w:t>
      </w:r>
    </w:p>
    <w:p>
      <w:pPr>
        <w:pStyle w:val="Normal"/>
        <w:ind w:start="720" w:end="0"/>
        <w:rPr/>
      </w:pPr>
      <w:r>
        <w:rPr/>
      </w:r>
    </w:p>
    <w:p>
      <w:pPr>
        <w:pStyle w:val="Normal"/>
        <w:ind w:start="720" w:end="0"/>
        <w:rPr/>
      </w:pPr>
      <w:r>
        <w:rPr/>
        <w:t>Although NERC had several direct courses of action with which they could have pursued these issues, NERC never chose to do so, claiming again a fear of litigation.  In one case, NERC worked with a vendor to supply the false information, including allowing their name to be used as an implicit approval of the transgression.  In other cases, vendors have used market power to force technical issues that frankly violate NERC and FERC confidentiality rules.</w:t>
      </w:r>
    </w:p>
    <w:p>
      <w:pPr>
        <w:pStyle w:val="Normal"/>
        <w:rPr/>
      </w:pPr>
      <w:r>
        <w:rPr/>
      </w:r>
    </w:p>
    <w:p>
      <w:pPr>
        <w:pStyle w:val="Normal"/>
        <w:rPr/>
      </w:pPr>
      <w:r>
        <w:rPr/>
      </w:r>
    </w:p>
    <w:p>
      <w:pPr>
        <w:pStyle w:val="Normal"/>
        <w:rPr/>
      </w:pPr>
      <w:r>
        <w:rPr/>
      </w:r>
    </w:p>
    <w:p>
      <w:pPr>
        <w:pStyle w:val="Normal"/>
        <w:autoSpaceDE w:val="false"/>
        <w:ind w:start="720" w:end="0"/>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720" w:end="0"/>
    </w:pPr>
    <w:rPr>
      <w:sz w:val="22"/>
      <w:szCs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2001-08-07T19:27:00Z</dcterms:created>
  <dc:creator>arodriqu</dc:creator>
  <dc:description/>
  <dc:language>en-CA</dc:language>
  <cp:lastModifiedBy>arodriqu</cp:lastModifiedBy>
  <dcterms:modified xsi:type="dcterms:W3CDTF">2001-08-15T18:33:00Z</dcterms:modified>
  <cp:revision>3</cp:revision>
  <dc:subject/>
  <dc:title>Inability of NERC to enforce Policy 5 compliance with AEP/Cinergy Inadvertent</dc:title>
</cp:coreProperties>
</file>