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6480" w:leader="none"/>
        </w:tabs>
        <w:rPr>
          <w:sz w:val="22"/>
        </w:rPr>
      </w:pPr>
      <w:r>
        <w:rPr>
          <w:sz w:val="22"/>
        </w:rPr>
      </w:r>
    </w:p>
    <w:p>
      <w:pPr>
        <w:pStyle w:val="Normal"/>
        <w:widowControl/>
        <w:tabs>
          <w:tab w:val="clear" w:pos="720"/>
          <w:tab w:val="left" w:pos="648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913765" cy="8115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13765" cy="81153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Caption"/>
        <w:rPr>
          <w:b w:val="false"/>
          <w:u w:val="none"/>
        </w:rPr>
      </w:pPr>
      <w:r>
        <w:rPr>
          <w:b w:val="false"/>
          <w:u w:val="none"/>
        </w:rPr>
      </w:r>
    </w:p>
    <w:p>
      <w:pPr>
        <w:pStyle w:val="Caption"/>
        <w:rPr>
          <w:sz w:val="20"/>
        </w:rPr>
      </w:pPr>
      <w:r>
        <w:rPr>
          <w:sz w:val="20"/>
        </w:rPr>
        <w:t>CONFIRMATION</w:t>
      </w:r>
    </w:p>
    <w:p>
      <w:pPr>
        <w:pStyle w:val="Normal"/>
        <w:widowControl/>
        <w:rPr>
          <w:sz w:val="20"/>
        </w:rPr>
      </w:pPr>
      <w:r>
        <w:rPr>
          <w:sz w:val="20"/>
        </w:rPr>
      </w:r>
    </w:p>
    <w:p>
      <w:pPr>
        <w:pStyle w:val="Normal"/>
        <w:widowControl/>
        <w:ind w:firstLine="720" w:end="0"/>
        <w:rPr/>
      </w:pPr>
      <w:r>
        <w:rPr/>
        <w:t>Date:</w:t>
        <w:tab/>
        <w:tab/>
        <w:tab/>
        <w:tab/>
        <w:t>July 12, 2000</w:t>
      </w:r>
    </w:p>
    <w:p>
      <w:pPr>
        <w:pStyle w:val="Normal"/>
        <w:widowControl/>
        <w:ind w:firstLine="720" w:end="0"/>
        <w:rPr/>
      </w:pPr>
      <w:r>
        <w:rPr/>
        <w:t>To:</w:t>
        <w:tab/>
        <w:tab/>
        <w:tab/>
        <w:tab/>
      </w:r>
      <w:r>
        <w:rPr>
          <w:color w:val="000000"/>
          <w:lang w:eastAsia="en-US"/>
        </w:rPr>
        <w:t>Weyerhaeuser Company Limited</w:t>
      </w:r>
      <w:r>
        <w:rPr/>
        <w:t xml:space="preserve"> (“Counterparty”)</w:t>
      </w:r>
    </w:p>
    <w:p>
      <w:pPr>
        <w:pStyle w:val="Normal"/>
        <w:widowControl/>
        <w:ind w:firstLine="720" w:end="0"/>
        <w:rPr/>
      </w:pPr>
      <w:r>
        <w:rPr/>
        <w:t xml:space="preserve">Attention: </w:t>
        <w:tab/>
        <w:tab/>
        <w:tab/>
        <w:t>Ted Cuthbert</w:t>
      </w:r>
    </w:p>
    <w:p>
      <w:pPr>
        <w:pStyle w:val="Normal"/>
        <w:widowControl/>
        <w:rPr/>
      </w:pPr>
      <w:r>
        <w:rPr/>
        <w:tab/>
        <w:t>Phone Number:</w:t>
        <w:tab/>
        <w:tab/>
        <w:tab/>
        <w:t>(905) 405-4456</w:t>
      </w:r>
    </w:p>
    <w:p>
      <w:pPr>
        <w:pStyle w:val="Normal"/>
        <w:widowControl/>
        <w:ind w:firstLine="720" w:end="0"/>
        <w:rPr/>
      </w:pPr>
      <w:r>
        <w:rPr/>
        <w:t>Fax Number:</w:t>
        <w:tab/>
        <w:tab/>
        <w:tab/>
        <w:t>(905) 405-4506</w:t>
      </w:r>
    </w:p>
    <w:p>
      <w:pPr>
        <w:pStyle w:val="Normal"/>
        <w:widowControl/>
        <w:ind w:firstLine="720" w:end="0"/>
        <w:rPr/>
      </w:pPr>
      <w:r>
        <w:rPr/>
        <w:t>From:</w:t>
        <w:tab/>
        <w:tab/>
        <w:tab/>
        <w:tab/>
        <w:t>Enron North America Corp. (“ENA”)</w:t>
      </w:r>
    </w:p>
    <w:p>
      <w:pPr>
        <w:pStyle w:val="Normal"/>
        <w:widowControl/>
        <w:ind w:firstLine="720" w:end="0"/>
        <w:rPr/>
      </w:pPr>
      <w:r>
        <w:rPr/>
        <w:t>Re:</w:t>
        <w:tab/>
        <w:tab/>
        <w:tab/>
        <w:tab/>
        <w:t>Commodity Swap, ENA Deal No. NQ6149.1</w:t>
      </w:r>
    </w:p>
    <w:p>
      <w:pPr>
        <w:pStyle w:val="Normal"/>
        <w:widowControl/>
        <w:rPr/>
      </w:pPr>
      <w:r>
        <w:rPr/>
      </w:r>
    </w:p>
    <w:p>
      <w:pPr>
        <w:pStyle w:val="BodyTextIndent"/>
        <w:rPr/>
      </w:pPr>
      <w:r>
        <w:rPr/>
        <w:tab/>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pPr>
      <w:r>
        <w:rPr/>
      </w:r>
    </w:p>
    <w:p>
      <w:pPr>
        <w:pStyle w:val="Normal"/>
        <w:widowControl/>
        <w:ind w:firstLine="720" w:start="-720" w:end="0"/>
        <w:jc w:val="both"/>
        <w:rPr/>
      </w:pPr>
      <w:r>
        <w:rPr/>
        <w:t xml:space="preserve">1. This Confirmation supplements, forms part of, and is subject to the ISDA Master Agreement dated as of </w:t>
      </w:r>
      <w:r>
        <w:rPr>
          <w:color w:val="FF0000"/>
        </w:rPr>
        <w:t>June 1, 2000</w:t>
      </w:r>
      <w:r>
        <w:rPr/>
        <w:t>, as amended and supplemented from time to time (the “Agreement”), between you and us.  All provisions contained in the Agreement govern this Confirmation except as expressly modified below.</w:t>
      </w:r>
    </w:p>
    <w:p>
      <w:pPr>
        <w:pStyle w:val="Normal"/>
        <w:widowControl/>
        <w:jc w:val="both"/>
        <w:rPr/>
      </w:pPr>
      <w:r>
        <w:rPr/>
      </w:r>
    </w:p>
    <w:p>
      <w:pPr>
        <w:pStyle w:val="Normal"/>
        <w:widowControl/>
        <w:ind w:firstLine="720" w:start="-720" w:end="0"/>
        <w:jc w:val="both"/>
        <w:rPr/>
      </w:pPr>
      <w:r>
        <w:rPr/>
        <w:t>2. The terms of the particular Transaction to which this Confirmation relates are as follows:</w:t>
      </w:r>
    </w:p>
    <w:p>
      <w:pPr>
        <w:pStyle w:val="BodyTextIndent"/>
        <w:widowControl/>
        <w:rPr>
          <w:sz w:val="22"/>
        </w:rPr>
      </w:pPr>
      <w:r>
        <w:rPr>
          <w:sz w:val="22"/>
        </w:rPr>
      </w:r>
    </w:p>
    <w:p>
      <w:pPr>
        <w:pStyle w:val="BodyTextIndent"/>
        <w:widowControl/>
        <w:tabs>
          <w:tab w:val="left" w:pos="90" w:leader="none"/>
          <w:tab w:val="left" w:pos="2160" w:leader="none"/>
          <w:tab w:val="left" w:pos="4320" w:leader="none"/>
          <w:tab w:val="left" w:pos="6480" w:leader="none"/>
        </w:tabs>
        <w:rPr>
          <w:b/>
          <w:sz w:val="22"/>
        </w:rPr>
      </w:pPr>
      <w:r>
        <w:rPr>
          <w:b/>
          <w:sz w:val="22"/>
        </w:rPr>
        <w:t>General Terms:</w:t>
      </w:r>
    </w:p>
    <w:p>
      <w:pPr>
        <w:pStyle w:val="BodyTextIndent"/>
        <w:widowControl/>
        <w:tabs>
          <w:tab w:val="left" w:pos="90" w:leader="none"/>
          <w:tab w:val="left" w:pos="2160" w:leader="none"/>
          <w:tab w:val="left" w:pos="4320" w:leader="none"/>
          <w:tab w:val="left" w:pos="6480" w:leader="none"/>
        </w:tabs>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Total Notional Quantity:</w:t>
            </w:r>
          </w:p>
        </w:tc>
        <w:tc>
          <w:tcPr>
            <w:tcW w:w="5238" w:type="dxa"/>
            <w:tcBorders/>
          </w:tcPr>
          <w:p>
            <w:pPr>
              <w:pStyle w:val="Normal"/>
              <w:jc w:val="both"/>
              <w:rPr>
                <w:sz w:val="22"/>
              </w:rPr>
            </w:pPr>
            <w:r>
              <w:rPr>
                <w:sz w:val="22"/>
              </w:rPr>
              <w:t>2,196.480 Thousand Square Feet</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 xml:space="preserve">Notional Quantity per </w:t>
            </w:r>
          </w:p>
          <w:p>
            <w:pPr>
              <w:pStyle w:val="Normal"/>
              <w:ind w:start="720" w:end="0"/>
              <w:jc w:val="both"/>
              <w:rPr>
                <w:sz w:val="22"/>
              </w:rPr>
            </w:pPr>
            <w:r>
              <w:rPr>
                <w:sz w:val="22"/>
              </w:rPr>
              <w:t>Calculation Period:</w:t>
            </w:r>
          </w:p>
        </w:tc>
        <w:tc>
          <w:tcPr>
            <w:tcW w:w="5238" w:type="dxa"/>
            <w:tcBorders/>
          </w:tcPr>
          <w:p>
            <w:pPr>
              <w:pStyle w:val="Normal"/>
              <w:snapToGrid w:val="false"/>
              <w:jc w:val="both"/>
              <w:rPr>
                <w:sz w:val="22"/>
              </w:rPr>
            </w:pPr>
            <w:r>
              <w:rPr>
                <w:sz w:val="22"/>
              </w:rPr>
            </w:r>
          </w:p>
          <w:p>
            <w:pPr>
              <w:pStyle w:val="Normal"/>
              <w:jc w:val="both"/>
              <w:rPr>
                <w:sz w:val="22"/>
              </w:rPr>
            </w:pPr>
            <w:r>
              <w:rPr>
                <w:sz w:val="22"/>
              </w:rPr>
              <w:t xml:space="preserve">84.480 Thousand Square Feet </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w:t>
            </w:r>
          </w:p>
        </w:tc>
        <w:tc>
          <w:tcPr>
            <w:tcW w:w="5238" w:type="dxa"/>
            <w:tcBorders/>
          </w:tcPr>
          <w:p>
            <w:pPr>
              <w:pStyle w:val="Normal"/>
              <w:jc w:val="both"/>
              <w:rPr>
                <w:sz w:val="22"/>
              </w:rPr>
            </w:pPr>
            <w:r>
              <w:rPr>
                <w:sz w:val="22"/>
              </w:rPr>
              <w:t>Oriented Strand Board, 19/32”, T&amp;G, North Central</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 Unit:</w:t>
            </w:r>
          </w:p>
        </w:tc>
        <w:tc>
          <w:tcPr>
            <w:tcW w:w="5238" w:type="dxa"/>
            <w:tcBorders/>
          </w:tcPr>
          <w:p>
            <w:pPr>
              <w:pStyle w:val="Normal"/>
              <w:jc w:val="both"/>
              <w:rPr>
                <w:sz w:val="22"/>
              </w:rPr>
            </w:pPr>
            <w:r>
              <w:rPr>
                <w:sz w:val="22"/>
              </w:rPr>
              <w:t>Thousand Square Feet</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Trade Date:</w:t>
            </w:r>
          </w:p>
        </w:tc>
        <w:tc>
          <w:tcPr>
            <w:tcW w:w="5238" w:type="dxa"/>
            <w:tcBorders/>
          </w:tcPr>
          <w:p>
            <w:pPr>
              <w:pStyle w:val="Normal"/>
              <w:jc w:val="both"/>
              <w:rPr>
                <w:sz w:val="22"/>
              </w:rPr>
            </w:pPr>
            <w:r>
              <w:rPr>
                <w:sz w:val="22"/>
              </w:rPr>
              <w:t>July 12,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Effective Date:</w:t>
            </w:r>
          </w:p>
        </w:tc>
        <w:tc>
          <w:tcPr>
            <w:tcW w:w="5238" w:type="dxa"/>
            <w:tcBorders/>
          </w:tcPr>
          <w:p>
            <w:pPr>
              <w:pStyle w:val="Normal"/>
              <w:jc w:val="both"/>
              <w:rPr>
                <w:sz w:val="22"/>
              </w:rPr>
            </w:pPr>
            <w:r>
              <w:rPr>
                <w:sz w:val="22"/>
              </w:rPr>
              <w:t>August 1,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Termination Date:</w:t>
            </w:r>
          </w:p>
        </w:tc>
        <w:tc>
          <w:tcPr>
            <w:tcW w:w="5238" w:type="dxa"/>
            <w:tcBorders/>
          </w:tcPr>
          <w:p>
            <w:pPr>
              <w:pStyle w:val="Normal"/>
              <w:jc w:val="both"/>
              <w:rPr>
                <w:sz w:val="22"/>
              </w:rPr>
            </w:pPr>
            <w:r>
              <w:rPr>
                <w:sz w:val="22"/>
              </w:rPr>
              <w:t>January 26, 2001</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Calculation Period(s):</w:t>
            </w:r>
          </w:p>
        </w:tc>
        <w:tc>
          <w:tcPr>
            <w:tcW w:w="5238" w:type="dxa"/>
            <w:tcBorders/>
          </w:tcPr>
          <w:p>
            <w:pPr>
              <w:pStyle w:val="Normal"/>
              <w:jc w:val="both"/>
              <w:rPr>
                <w:sz w:val="22"/>
              </w:rPr>
            </w:pPr>
            <w:r>
              <w:rPr>
                <w:color w:val="000000"/>
                <w:sz w:val="22"/>
              </w:rPr>
              <w:t>Weekly periods, with the first Calculation Period commencing on the Effective Date and the final Calculation Period ending on the Termination Date.</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ind w:start="720" w:end="0"/>
              <w:jc w:val="both"/>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last Calculation Period for each calendar month.</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p>
            <w:pPr>
              <w:pStyle w:val="Normal"/>
              <w:jc w:val="both"/>
              <w:rPr>
                <w:sz w:val="22"/>
              </w:rPr>
            </w:pPr>
            <w:r>
              <w:rPr>
                <w:sz w:val="22"/>
              </w:rPr>
            </w:r>
          </w:p>
        </w:tc>
      </w:tr>
      <w:tr>
        <w:trPr/>
        <w:tc>
          <w:tcPr>
            <w:tcW w:w="4338" w:type="dxa"/>
            <w:tcBorders/>
          </w:tcPr>
          <w:p>
            <w:pPr>
              <w:pStyle w:val="Normal"/>
              <w:jc w:val="both"/>
              <w:rPr>
                <w:b/>
                <w:sz w:val="22"/>
              </w:rPr>
            </w:pPr>
            <w:r>
              <w:rPr>
                <w:b/>
                <w:sz w:val="22"/>
              </w:rPr>
              <w:t>Fixed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 Payer:</w:t>
            </w:r>
          </w:p>
        </w:tc>
        <w:tc>
          <w:tcPr>
            <w:tcW w:w="5238" w:type="dxa"/>
            <w:tcBorders/>
          </w:tcPr>
          <w:p>
            <w:pPr>
              <w:pStyle w:val="Normal"/>
              <w:jc w:val="both"/>
              <w:rPr>
                <w:sz w:val="22"/>
              </w:rPr>
            </w:pPr>
            <w:r>
              <w:rPr>
                <w:sz w:val="22"/>
              </w:rPr>
              <w:t>Counterparty</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w:t>
            </w:r>
          </w:p>
        </w:tc>
        <w:tc>
          <w:tcPr>
            <w:tcW w:w="5238" w:type="dxa"/>
            <w:tcBorders/>
          </w:tcPr>
          <w:p>
            <w:pPr>
              <w:pStyle w:val="Normal"/>
              <w:jc w:val="both"/>
              <w:rPr>
                <w:sz w:val="22"/>
              </w:rPr>
            </w:pPr>
            <w:r>
              <w:rPr>
                <w:sz w:val="22"/>
              </w:rPr>
              <w:t>U.S. $330.00 per Thousand Square Feet</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Floating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rHeight w:val="477" w:hRule="atLeast"/>
        </w:trPr>
        <w:tc>
          <w:tcPr>
            <w:tcW w:w="4338" w:type="dxa"/>
            <w:tcBorders/>
          </w:tcPr>
          <w:p>
            <w:pPr>
              <w:pStyle w:val="Normal"/>
              <w:ind w:start="720" w:end="0"/>
              <w:jc w:val="both"/>
              <w:rPr>
                <w:sz w:val="22"/>
              </w:rPr>
            </w:pPr>
            <w:r>
              <w:rPr>
                <w:sz w:val="22"/>
              </w:rPr>
              <w:t>Floating Price Payer:</w:t>
            </w:r>
          </w:p>
        </w:tc>
        <w:tc>
          <w:tcPr>
            <w:tcW w:w="5238" w:type="dxa"/>
            <w:tcBorders/>
          </w:tcPr>
          <w:p>
            <w:pPr>
              <w:pStyle w:val="Normal"/>
              <w:jc w:val="both"/>
              <w:rPr>
                <w:sz w:val="22"/>
              </w:rPr>
            </w:pPr>
            <w:r>
              <w:rPr>
                <w:sz w:val="22"/>
              </w:rPr>
              <w:t>ENA</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Floating Price:</w:t>
            </w:r>
          </w:p>
        </w:tc>
        <w:tc>
          <w:tcPr>
            <w:tcW w:w="5238" w:type="dxa"/>
            <w:tcBorders/>
          </w:tcPr>
          <w:p>
            <w:pPr>
              <w:pStyle w:val="Normal"/>
              <w:jc w:val="both"/>
              <w:rPr>
                <w:sz w:val="22"/>
              </w:rPr>
            </w:pPr>
            <w:r>
              <w:rPr>
                <w:sz w:val="22"/>
              </w:rPr>
              <w:t xml:space="preserve">The Floating Price for each Calculation Period shall be the price per Thousand Square Feet of the Commodity, stated in U.S. Dollars, published under the heading “Panel Market Report: Oriented Strand Board: North Central” and opposite the caption “19/32”T&amp;G” in the Friday issue of </w:t>
            </w:r>
            <w:r>
              <w:rPr>
                <w:sz w:val="22"/>
                <w:u w:val="single"/>
              </w:rPr>
              <w:t>Random Lengths Panel Market Report</w:t>
            </w:r>
            <w:r>
              <w:rPr>
                <w:sz w:val="22"/>
              </w:rPr>
              <w:t xml:space="preserve">, </w:t>
            </w:r>
            <w:r>
              <w:rPr/>
              <w:t>that reports prices effective on the Pricing Date for such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Pricing Date:</w:t>
            </w:r>
          </w:p>
        </w:tc>
        <w:tc>
          <w:tcPr>
            <w:tcW w:w="5238" w:type="dxa"/>
            <w:tcBorders/>
          </w:tcPr>
          <w:p>
            <w:pPr>
              <w:pStyle w:val="Normal"/>
              <w:jc w:val="both"/>
              <w:rPr/>
            </w:pPr>
            <w:r>
              <w:rPr>
                <w:sz w:val="22"/>
              </w:rPr>
              <w:t xml:space="preserve">Date of publication of </w:t>
            </w:r>
            <w:r>
              <w:rPr>
                <w:sz w:val="22"/>
                <w:u w:val="single"/>
              </w:rPr>
              <w:t>Random Lengths Panel Market Report</w:t>
            </w:r>
            <w:r>
              <w:rPr>
                <w:sz w:val="22"/>
              </w:rPr>
              <w:t>, or any successor publication, published by Random Lengths Panel Market Report or its successor (such publication, the “</w:t>
            </w:r>
            <w:r>
              <w:rPr>
                <w:sz w:val="22"/>
                <w:u w:val="single"/>
              </w:rPr>
              <w:t>Random Lengths Panel Market Report</w:t>
            </w:r>
            <w:r>
              <w:rPr>
                <w:sz w:val="22"/>
              </w:rPr>
              <w:t>”) for the applicable Calculation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Alternate Floating Price Source:</w:t>
            </w:r>
          </w:p>
        </w:tc>
        <w:tc>
          <w:tcPr>
            <w:tcW w:w="5238" w:type="dxa"/>
            <w:tcBorders/>
          </w:tcPr>
          <w:p>
            <w:pPr>
              <w:pStyle w:val="Normal"/>
              <w:jc w:val="both"/>
              <w:rPr>
                <w:sz w:val="22"/>
              </w:rPr>
            </w:pPr>
            <w:r>
              <w:rPr>
                <w:sz w:val="22"/>
              </w:rPr>
              <w:t>None</w:t>
            </w:r>
          </w:p>
        </w:tc>
      </w:tr>
    </w:tbl>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r>
    </w:p>
    <w:p>
      <w:pPr>
        <w:pStyle w:val="BodyTextIndent"/>
        <w:widowControl/>
        <w:tabs>
          <w:tab w:val="left" w:pos="90" w:leader="none"/>
          <w:tab w:val="left" w:pos="2160" w:leader="none"/>
          <w:tab w:val="left" w:pos="4320" w:leader="none"/>
          <w:tab w:val="left" w:pos="6480" w:leader="none"/>
        </w:tabs>
        <w:rPr>
          <w:sz w:val="22"/>
        </w:rPr>
      </w:pPr>
      <w:r>
        <w:rPr>
          <w:sz w:val="22"/>
        </w:rPr>
      </w:r>
    </w:p>
    <w:p>
      <w:pPr>
        <w:pStyle w:val="BodyTextIndent2"/>
        <w:rPr/>
      </w:pPr>
      <w:r>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BodyTextIndent2"/>
        <w:rPr/>
      </w:pPr>
      <w:r>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180" w:end="0"/>
        <w:rPr/>
      </w:pPr>
      <w:r>
        <w:rPr/>
        <w:t>Sincerely,</w:t>
      </w:r>
    </w:p>
    <w:p>
      <w:pPr>
        <w:pStyle w:val="BodyTextIndent"/>
        <w:tabs>
          <w:tab w:val="left" w:pos="90" w:leader="none"/>
          <w:tab w:val="left" w:pos="810" w:leader="none"/>
          <w:tab w:val="left" w:pos="2160" w:leader="none"/>
          <w:tab w:val="left" w:pos="4320" w:leader="none"/>
          <w:tab w:val="left" w:pos="6480" w:leader="none"/>
        </w:tabs>
        <w:ind w:start="-180" w:end="0"/>
        <w:rPr/>
      </w:pPr>
      <w:r>
        <w:rPr/>
      </w:r>
    </w:p>
    <w:p>
      <w:pPr>
        <w:pStyle w:val="BodyTextIndent"/>
        <w:tabs>
          <w:tab w:val="left" w:pos="90" w:leader="none"/>
          <w:tab w:val="left" w:pos="810" w:leader="none"/>
          <w:tab w:val="left" w:pos="2160" w:leader="none"/>
          <w:tab w:val="left" w:pos="5040" w:leader="none"/>
          <w:tab w:val="left" w:pos="6480" w:leader="none"/>
        </w:tabs>
        <w:ind w:start="-180" w:end="0"/>
        <w:rPr/>
      </w:pPr>
      <w:r>
        <w:rPr/>
        <w:t xml:space="preserve">Enron North America Corp. </w:t>
        <w:tab/>
        <w:tab/>
        <w:t>Counterparty</w:t>
      </w:r>
    </w:p>
    <w:p>
      <w:pPr>
        <w:pStyle w:val="BodyTextIndent"/>
        <w:tabs>
          <w:tab w:val="left" w:pos="90" w:leader="none"/>
          <w:tab w:val="left" w:pos="810" w:leader="none"/>
          <w:tab w:val="left" w:pos="2160" w:leader="none"/>
          <w:tab w:val="left" w:pos="4140" w:leader="none"/>
          <w:tab w:val="left" w:pos="6480" w:leader="none"/>
        </w:tabs>
        <w:ind w:start="-180" w:end="0"/>
        <w:rPr/>
      </w:pPr>
      <w:r>
        <w:rPr/>
      </w:r>
    </w:p>
    <w:p>
      <w:pPr>
        <w:pStyle w:val="BodyTextIndent"/>
        <w:tabs>
          <w:tab w:val="left" w:pos="90" w:leader="none"/>
          <w:tab w:val="left" w:pos="810" w:leader="none"/>
          <w:tab w:val="left" w:pos="2160" w:leader="none"/>
          <w:tab w:val="left" w:pos="4140" w:leader="none"/>
          <w:tab w:val="left" w:pos="6480" w:leader="none"/>
        </w:tabs>
        <w:ind w:start="-180" w:end="0"/>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ind w:start="-180" w:end="0"/>
        <w:rPr/>
      </w:pPr>
      <w:r>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ind w:start="-180" w:end="0"/>
        <w:rPr/>
      </w:pPr>
      <w:r>
        <w:rPr/>
        <w:t>Name: _______________________</w:t>
        <w:tab/>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180" w:end="0"/>
        <w:rPr/>
      </w:pPr>
      <w:r>
        <w:rPr/>
        <w:t>Title: ________________________</w:t>
        <w:tab/>
        <w:tab/>
        <w:t>Title: _______________________</w:t>
      </w:r>
    </w:p>
    <w:sectPr>
      <w:headerReference w:type="default" r:id="rId3"/>
      <w:footerReference w:type="default" r:id="rId4"/>
      <w:type w:val="nextPage"/>
      <w:pgSz w:w="12240" w:h="15840"/>
      <w:pgMar w:left="1710" w:right="99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sz w:val="18"/>
      </w:rPr>
      <w:t>Deal No.</w:t>
    </w:r>
    <w:r>
      <w:rPr/>
      <w:t xml:space="preserve"> NQ6149.1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widowControl/>
      <w:ind w:firstLine="720" w:start="-9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2000-07-12T18:21:00Z</dcterms:created>
  <dc:creator>ECT</dc:creator>
  <dc:description/>
  <dc:language>en-CA</dc:language>
  <cp:lastModifiedBy>jcyprow</cp:lastModifiedBy>
  <cp:lastPrinted>2000-07-12T16:21:00Z</cp:lastPrinted>
  <dcterms:modified xsi:type="dcterms:W3CDTF">2000-07-12T19:03:00Z</dcterms:modified>
  <cp:revision>5</cp:revision>
  <dc:subject/>
  <dc:title> </dc:title>
</cp:coreProperties>
</file>