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rFonts w:ascii="Frutiger 55 Roman" w:hAnsi="Frutiger 55 Roman" w:cs="Frutiger 55 Roman"/>
        </w:rPr>
      </w:pPr>
      <w:r>
        <w:rPr>
          <w:rFonts w:cs="Frutiger 55 Roman" w:ascii="Frutiger 55 Roman" w:hAnsi="Frutiger 55 Roman"/>
        </w:rPr>
        <w:t>Brief History of the Western Power Crisis</w:t>
      </w:r>
    </w:p>
    <w:p>
      <w:pPr>
        <w:pStyle w:val="Normal"/>
        <w:jc w:val="both"/>
        <w:rPr>
          <w:rFonts w:ascii="Frutiger 45 Light" w:hAnsi="Frutiger 45 Light" w:cs="Frutiger 45 Light"/>
        </w:rPr>
      </w:pPr>
      <w:r>
        <w:rPr>
          <w:rFonts w:cs="Frutiger 45 Light" w:ascii="Frutiger 45 Light" w:hAnsi="Frutiger 45 Light"/>
        </w:rPr>
        <w:t xml:space="preserve">The Western “power crisis” has been most acutely felt in California, with significant rate increases in surrounding states.  California’s problems stem from a chronic shortage of electricity generation compounded by a lack of rainfall over three years that sharply curtailed hydroelectric capacity.  At the same time, the electric power restructuring program that created very low “pooled” wholesale pricing in the state from 1996 to 1999, left the markets increasingly exposed to changes in supply and demand.  </w:t>
      </w:r>
    </w:p>
    <w:p>
      <w:pPr>
        <w:pStyle w:val="Heading1"/>
        <w:ind w:hanging="0" w:start="0"/>
        <w:rPr>
          <w:rFonts w:ascii="Frutiger 45 Light" w:hAnsi="Frutiger 45 Light" w:cs="Frutiger 45 Light"/>
          <w:sz w:val="24"/>
        </w:rPr>
      </w:pPr>
      <w:r>
        <w:rPr>
          <w:rFonts w:cs="Frutiger 45 Light" w:ascii="Frutiger 45 Light" w:hAnsi="Frutiger 45 Light"/>
        </w:rPr>
        <w:t>The Roots of the Crisis</w:t>
      </w:r>
    </w:p>
    <w:p>
      <w:pPr>
        <w:pStyle w:val="Normal"/>
        <w:jc w:val="both"/>
        <w:rPr/>
      </w:pPr>
      <w:r>
        <w:rPr>
          <w:rFonts w:cs="Frutiger 45 Light" w:ascii="Frutiger 45 Light" w:hAnsi="Frutiger 45 Light"/>
        </w:rPr>
        <w:t xml:space="preserve">California is a net importer of energy, buying roughly 255,000 barrels per day of oil, 4.9 billion cubic feet per day of natural gas and about 11,000 megawatts of power in addition to what is produced in-state.  When the crisis reached its peak in early 2001, no major new power plants have been built in the state during the past 10 years.  Between 1990 and 1999, power generation capacity declined by 2 percent.  The constraints of California’s electric power market design became apparent in recent years.  </w:t>
      </w:r>
      <w:r>
        <w:rPr>
          <w:rStyle w:val="copy1"/>
          <w:rFonts w:cs="Frutiger 45 Light" w:ascii="Frutiger 45 Light" w:hAnsi="Frutiger 45 Light"/>
          <w:sz w:val="24"/>
        </w:rPr>
        <w:t>Though much finger-pointing continues, experts generally agree that a convergence of factors complicated efforts to meet the state’s burgeoning power requirements:</w:t>
      </w:r>
    </w:p>
    <w:p>
      <w:pPr>
        <w:pStyle w:val="Normal"/>
        <w:jc w:val="both"/>
        <w:rPr>
          <w:rStyle w:val="copy1"/>
          <w:rFonts w:ascii="Frutiger 45 Light" w:hAnsi="Frutiger 45 Light" w:cs="Frutiger 45 Light"/>
          <w:sz w:val="24"/>
        </w:rPr>
      </w:pPr>
      <w:r>
        <w:rPr/>
      </w:r>
    </w:p>
    <w:p>
      <w:pPr>
        <w:pStyle w:val="Normal"/>
        <w:numPr>
          <w:ilvl w:val="0"/>
          <w:numId w:val="2"/>
        </w:numPr>
        <w:jc w:val="both"/>
        <w:rPr>
          <w:rStyle w:val="copy1"/>
          <w:rFonts w:ascii="Frutiger 45 Light" w:hAnsi="Frutiger 45 Light" w:cs="Times New Roman"/>
          <w:color w:val="000000"/>
          <w:sz w:val="24"/>
          <w:szCs w:val="24"/>
        </w:rPr>
      </w:pPr>
      <w:r>
        <w:rPr>
          <w:rStyle w:val="copy1"/>
          <w:rFonts w:cs="Frutiger 45 Light" w:ascii="Frutiger 45 Light" w:hAnsi="Frutiger 45 Light"/>
          <w:sz w:val="24"/>
        </w:rPr>
        <w:t>Hot summers in California and the Desert Southwest, dry, cold winters in the Northwest;</w:t>
      </w:r>
    </w:p>
    <w:p>
      <w:pPr>
        <w:pStyle w:val="Normal"/>
        <w:jc w:val="both"/>
        <w:rPr>
          <w:rStyle w:val="copy1"/>
          <w:rFonts w:ascii="Frutiger 45 Light" w:hAnsi="Frutiger 45 Light" w:cs="Times New Roman"/>
          <w:color w:val="000000"/>
          <w:sz w:val="24"/>
          <w:szCs w:val="24"/>
        </w:rPr>
      </w:pPr>
      <w:r>
        <w:rPr/>
      </w:r>
    </w:p>
    <w:p>
      <w:pPr>
        <w:pStyle w:val="Normal"/>
        <w:numPr>
          <w:ilvl w:val="0"/>
          <w:numId w:val="2"/>
        </w:numPr>
        <w:jc w:val="both"/>
        <w:rPr>
          <w:rStyle w:val="copy1"/>
          <w:rFonts w:ascii="Frutiger 45 Light" w:hAnsi="Frutiger 45 Light" w:cs="Times New Roman"/>
          <w:color w:val="000000"/>
          <w:sz w:val="24"/>
          <w:szCs w:val="24"/>
        </w:rPr>
      </w:pPr>
      <w:r>
        <w:rPr>
          <w:rStyle w:val="copy1"/>
          <w:rFonts w:cs="Frutiger 45 Light" w:ascii="Frutiger 45 Light" w:hAnsi="Frutiger 45 Light"/>
          <w:sz w:val="24"/>
        </w:rPr>
        <w:t>California’s dependence on power imports from other states;</w:t>
      </w:r>
    </w:p>
    <w:p>
      <w:pPr>
        <w:pStyle w:val="Normal"/>
        <w:jc w:val="both"/>
        <w:rPr>
          <w:rStyle w:val="copy1"/>
          <w:rFonts w:ascii="Frutiger 45 Light" w:hAnsi="Frutiger 45 Light" w:cs="Times New Roman"/>
          <w:color w:val="000000"/>
          <w:sz w:val="24"/>
          <w:szCs w:val="24"/>
        </w:rPr>
      </w:pPr>
      <w:r>
        <w:rPr/>
      </w:r>
    </w:p>
    <w:p>
      <w:pPr>
        <w:pStyle w:val="Normal"/>
        <w:numPr>
          <w:ilvl w:val="0"/>
          <w:numId w:val="2"/>
        </w:numPr>
        <w:jc w:val="both"/>
        <w:rPr>
          <w:rStyle w:val="copy1"/>
          <w:rFonts w:ascii="Frutiger 45 Light" w:hAnsi="Frutiger 45 Light" w:cs="Times New Roman"/>
          <w:color w:val="000000"/>
          <w:sz w:val="24"/>
          <w:szCs w:val="24"/>
        </w:rPr>
      </w:pPr>
      <w:r>
        <w:rPr>
          <w:rStyle w:val="copy1"/>
          <w:rFonts w:cs="Frutiger 45 Light" w:ascii="Frutiger 45 Light" w:hAnsi="Frutiger 45 Light"/>
          <w:sz w:val="24"/>
        </w:rPr>
        <w:t xml:space="preserve">Electricity </w:t>
      </w:r>
      <w:r>
        <w:rPr>
          <w:rFonts w:cs="Frutiger 45 Light" w:ascii="Frutiger 45 Light" w:hAnsi="Frutiger 45 Light"/>
        </w:rPr>
        <w:t>demand growth that topped 11 percent during the 1990s</w:t>
      </w:r>
      <w:r>
        <w:rPr>
          <w:rStyle w:val="copy1"/>
          <w:rFonts w:cs="Frutiger 45 Light" w:ascii="Frutiger 45 Light" w:hAnsi="Frutiger 45 Light"/>
          <w:sz w:val="24"/>
        </w:rPr>
        <w:t>;</w:t>
      </w:r>
    </w:p>
    <w:p>
      <w:pPr>
        <w:pStyle w:val="Normal"/>
        <w:jc w:val="both"/>
        <w:rPr>
          <w:rStyle w:val="copy1"/>
          <w:rFonts w:ascii="Frutiger 45 Light" w:hAnsi="Frutiger 45 Light" w:cs="Times New Roman"/>
          <w:color w:val="000000"/>
          <w:sz w:val="24"/>
          <w:szCs w:val="24"/>
        </w:rPr>
      </w:pPr>
      <w:r>
        <w:rPr/>
      </w:r>
    </w:p>
    <w:p>
      <w:pPr>
        <w:pStyle w:val="Normal"/>
        <w:numPr>
          <w:ilvl w:val="0"/>
          <w:numId w:val="2"/>
        </w:numPr>
        <w:jc w:val="both"/>
        <w:rPr>
          <w:rStyle w:val="copy1"/>
          <w:rFonts w:ascii="Frutiger 45 Light" w:hAnsi="Frutiger 45 Light" w:cs="Times New Roman"/>
          <w:color w:val="000000"/>
          <w:sz w:val="24"/>
          <w:szCs w:val="24"/>
        </w:rPr>
      </w:pPr>
      <w:r>
        <w:rPr>
          <w:rStyle w:val="copy1"/>
          <w:rFonts w:cs="Frutiger 45 Light" w:ascii="Frutiger 45 Light" w:hAnsi="Frutiger 45 Light"/>
          <w:sz w:val="24"/>
        </w:rPr>
        <w:t>Incomplete restructuring which didn’t include retail price caps for most customers;</w:t>
      </w:r>
    </w:p>
    <w:p>
      <w:pPr>
        <w:pStyle w:val="Normal"/>
        <w:jc w:val="both"/>
        <w:rPr>
          <w:rStyle w:val="copy1"/>
          <w:rFonts w:ascii="Frutiger 45 Light" w:hAnsi="Frutiger 45 Light" w:cs="Times New Roman"/>
          <w:color w:val="000000"/>
          <w:sz w:val="24"/>
          <w:szCs w:val="24"/>
        </w:rPr>
      </w:pPr>
      <w:r>
        <w:rPr/>
      </w:r>
    </w:p>
    <w:p>
      <w:pPr>
        <w:pStyle w:val="Normal"/>
        <w:numPr>
          <w:ilvl w:val="0"/>
          <w:numId w:val="2"/>
        </w:numPr>
        <w:jc w:val="both"/>
        <w:rPr>
          <w:rStyle w:val="copy1"/>
          <w:rFonts w:ascii="Frutiger 45 Light" w:hAnsi="Frutiger 45 Light" w:cs="Times New Roman"/>
          <w:color w:val="000000"/>
          <w:sz w:val="24"/>
          <w:szCs w:val="24"/>
        </w:rPr>
      </w:pPr>
      <w:r>
        <w:rPr>
          <w:rStyle w:val="copy1"/>
          <w:rFonts w:cs="Frutiger 45 Light" w:ascii="Frutiger 45 Light" w:hAnsi="Frutiger 45 Light"/>
          <w:sz w:val="24"/>
        </w:rPr>
        <w:t>Provisions preventing utilities from entering into long-term contracts, forcing reliance on a single, volatile spot market;</w:t>
      </w:r>
    </w:p>
    <w:p>
      <w:pPr>
        <w:pStyle w:val="Normal"/>
        <w:jc w:val="both"/>
        <w:rPr>
          <w:rStyle w:val="copy1"/>
          <w:rFonts w:ascii="Frutiger 45 Light" w:hAnsi="Frutiger 45 Light" w:cs="Times New Roman"/>
          <w:color w:val="000000"/>
          <w:sz w:val="24"/>
          <w:szCs w:val="24"/>
        </w:rPr>
      </w:pPr>
      <w:r>
        <w:rPr/>
      </w:r>
    </w:p>
    <w:p>
      <w:pPr>
        <w:pStyle w:val="Normal"/>
        <w:numPr>
          <w:ilvl w:val="0"/>
          <w:numId w:val="2"/>
        </w:numPr>
        <w:jc w:val="both"/>
        <w:rPr>
          <w:rStyle w:val="copy1"/>
          <w:rFonts w:ascii="Frutiger 45 Light" w:hAnsi="Frutiger 45 Light" w:cs="Times New Roman"/>
          <w:color w:val="000000"/>
          <w:sz w:val="24"/>
          <w:szCs w:val="24"/>
        </w:rPr>
      </w:pPr>
      <w:r>
        <w:rPr>
          <w:rStyle w:val="copy1"/>
          <w:rFonts w:cs="Frutiger 45 Light" w:ascii="Frutiger 45 Light" w:hAnsi="Frutiger 45 Light"/>
          <w:sz w:val="24"/>
        </w:rPr>
        <w:t>The California Energy Commission’s (CEC's) siting approval process;</w:t>
      </w:r>
    </w:p>
    <w:p>
      <w:pPr>
        <w:pStyle w:val="Normal"/>
        <w:jc w:val="both"/>
        <w:rPr>
          <w:rStyle w:val="copy1"/>
          <w:rFonts w:ascii="Frutiger 45 Light" w:hAnsi="Frutiger 45 Light" w:cs="Times New Roman"/>
          <w:color w:val="000000"/>
          <w:sz w:val="24"/>
          <w:szCs w:val="24"/>
        </w:rPr>
      </w:pPr>
      <w:r>
        <w:rPr/>
      </w:r>
    </w:p>
    <w:p>
      <w:pPr>
        <w:pStyle w:val="Normal"/>
        <w:numPr>
          <w:ilvl w:val="0"/>
          <w:numId w:val="2"/>
        </w:numPr>
        <w:jc w:val="both"/>
        <w:rPr>
          <w:rStyle w:val="copy1"/>
          <w:rFonts w:ascii="Frutiger 45 Light" w:hAnsi="Frutiger 45 Light" w:cs="Times New Roman"/>
          <w:color w:val="000000"/>
          <w:sz w:val="24"/>
          <w:szCs w:val="24"/>
        </w:rPr>
      </w:pPr>
      <w:r>
        <w:rPr>
          <w:rStyle w:val="copy1"/>
          <w:rFonts w:cs="Frutiger 45 Light" w:ascii="Frutiger 45 Light" w:hAnsi="Frutiger 45 Light"/>
          <w:sz w:val="24"/>
        </w:rPr>
        <w:t>Market rules that provided generators with incentives to withhold capacity;</w:t>
      </w:r>
    </w:p>
    <w:p>
      <w:pPr>
        <w:pStyle w:val="Normal"/>
        <w:jc w:val="both"/>
        <w:rPr>
          <w:rStyle w:val="copy1"/>
          <w:rFonts w:ascii="Frutiger 45 Light" w:hAnsi="Frutiger 45 Light" w:cs="Times New Roman"/>
          <w:color w:val="000000"/>
          <w:sz w:val="24"/>
          <w:szCs w:val="24"/>
        </w:rPr>
      </w:pPr>
      <w:r>
        <w:rPr/>
      </w:r>
    </w:p>
    <w:p>
      <w:pPr>
        <w:pStyle w:val="Normal"/>
        <w:numPr>
          <w:ilvl w:val="0"/>
          <w:numId w:val="2"/>
        </w:numPr>
        <w:jc w:val="both"/>
        <w:rPr>
          <w:rStyle w:val="copy1"/>
          <w:rFonts w:ascii="Frutiger 45 Light" w:hAnsi="Frutiger 45 Light" w:cs="Times New Roman"/>
          <w:color w:val="000000"/>
          <w:sz w:val="24"/>
          <w:szCs w:val="24"/>
        </w:rPr>
      </w:pPr>
      <w:r>
        <w:rPr>
          <w:rStyle w:val="copy1"/>
          <w:rFonts w:cs="Frutiger 45 Light" w:ascii="Frutiger 45 Light" w:hAnsi="Frutiger 45 Light"/>
          <w:sz w:val="24"/>
        </w:rPr>
        <w:t>Transmission bottlenecks, particularly the “Path 15” link between southern and northern California;</w:t>
      </w:r>
    </w:p>
    <w:p>
      <w:pPr>
        <w:pStyle w:val="Normal"/>
        <w:numPr>
          <w:ilvl w:val="0"/>
          <w:numId w:val="2"/>
        </w:numPr>
        <w:jc w:val="both"/>
        <w:rPr>
          <w:rStyle w:val="copy1"/>
          <w:rFonts w:ascii="Frutiger 45 Light" w:hAnsi="Frutiger 45 Light" w:cs="Times New Roman"/>
          <w:color w:val="000000"/>
          <w:sz w:val="24"/>
          <w:szCs w:val="24"/>
        </w:rPr>
      </w:pPr>
      <w:r>
        <w:rPr>
          <w:rStyle w:val="copy1"/>
          <w:rFonts w:cs="Frutiger 45 Light" w:ascii="Frutiger 45 Light" w:hAnsi="Frutiger 45 Light"/>
          <w:sz w:val="24"/>
        </w:rPr>
        <w:t>Intrastate gas transport constraints and low levels of natural gas storage, both of which raised natural gas costs;</w:t>
      </w:r>
    </w:p>
    <w:p>
      <w:pPr>
        <w:pStyle w:val="Normal"/>
        <w:jc w:val="both"/>
        <w:rPr>
          <w:rStyle w:val="copy1"/>
          <w:rFonts w:ascii="Frutiger 45 Light" w:hAnsi="Frutiger 45 Light" w:cs="Times New Roman"/>
          <w:color w:val="000000"/>
          <w:sz w:val="24"/>
          <w:szCs w:val="24"/>
        </w:rPr>
      </w:pPr>
      <w:r>
        <w:rPr/>
      </w:r>
    </w:p>
    <w:p>
      <w:pPr>
        <w:pStyle w:val="Normal"/>
        <w:numPr>
          <w:ilvl w:val="0"/>
          <w:numId w:val="2"/>
        </w:numPr>
        <w:jc w:val="both"/>
        <w:rPr>
          <w:rStyle w:val="copy1"/>
          <w:rFonts w:ascii="Frutiger 45 Light" w:hAnsi="Frutiger 45 Light" w:cs="Times New Roman"/>
          <w:color w:val="000000"/>
          <w:sz w:val="24"/>
          <w:szCs w:val="24"/>
        </w:rPr>
      </w:pPr>
      <w:r>
        <w:rPr>
          <w:rStyle w:val="copy1"/>
          <w:rFonts w:cs="Frutiger 45 Light" w:ascii="Frutiger 45 Light" w:hAnsi="Frutiger 45 Light"/>
          <w:sz w:val="24"/>
        </w:rPr>
        <w:t>Incomplete independence or politicization of the California ISO (CA-ISO); and</w:t>
      </w:r>
    </w:p>
    <w:p>
      <w:pPr>
        <w:pStyle w:val="Normal"/>
        <w:jc w:val="both"/>
        <w:rPr>
          <w:rStyle w:val="copy1"/>
          <w:rFonts w:ascii="Frutiger 45 Light" w:hAnsi="Frutiger 45 Light" w:cs="Times New Roman"/>
          <w:color w:val="000000"/>
          <w:sz w:val="24"/>
          <w:szCs w:val="24"/>
        </w:rPr>
      </w:pPr>
      <w:r>
        <w:rPr/>
      </w:r>
    </w:p>
    <w:p>
      <w:pPr>
        <w:pStyle w:val="Normal"/>
        <w:numPr>
          <w:ilvl w:val="0"/>
          <w:numId w:val="2"/>
        </w:numPr>
        <w:jc w:val="both"/>
        <w:rPr>
          <w:rStyle w:val="copy1"/>
          <w:rFonts w:ascii="Frutiger 45 Light" w:hAnsi="Frutiger 45 Light" w:cs="Times New Roman"/>
          <w:color w:val="000000"/>
          <w:sz w:val="24"/>
          <w:szCs w:val="24"/>
        </w:rPr>
      </w:pPr>
      <w:r>
        <w:rPr>
          <w:rStyle w:val="copy1"/>
          <w:rFonts w:cs="Times New Roman" w:ascii="Frutiger 45 Light" w:hAnsi="Frutiger 45 Light"/>
          <w:color w:val="000000"/>
          <w:sz w:val="24"/>
          <w:szCs w:val="24"/>
        </w:rPr>
        <w:t>As the crisis progressed, increasing uncertainty that raised the risks (and hence cost) of doing business in California, putting upward pressure on electricity prices, discouraging new investment, and increasing the state’s cost of financing.</w:t>
      </w:r>
    </w:p>
    <w:p>
      <w:pPr>
        <w:pStyle w:val="Normal"/>
        <w:jc w:val="both"/>
        <w:rPr>
          <w:rStyle w:val="copy1"/>
          <w:rFonts w:ascii="Frutiger 45 Light" w:hAnsi="Frutiger 45 Light" w:cs="Times New Roman"/>
          <w:color w:val="000000"/>
          <w:sz w:val="24"/>
          <w:szCs w:val="24"/>
        </w:rPr>
      </w:pPr>
      <w:r>
        <w:rPr/>
      </w:r>
    </w:p>
    <w:p>
      <w:pPr>
        <w:pStyle w:val="Normal"/>
        <w:jc w:val="both"/>
        <w:rPr/>
      </w:pPr>
      <w:r>
        <w:rPr>
          <w:rFonts w:cs="Frutiger 45 Light" w:ascii="Frutiger 45 Light" w:hAnsi="Frutiger 45 Light"/>
        </w:rPr>
        <w:t xml:space="preserve">Whatever the chain of causality behind California’s power troubles, it was the tension between retail price controls and a competitive wholesale market that brought the crisis to a head.  </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pPr>
      <w:r>
        <w:rPr>
          <w:rFonts w:cs="Frutiger 45 Light" w:ascii="Frutiger 45 Light" w:hAnsi="Frutiger 45 Light"/>
        </w:rPr>
        <w:t xml:space="preserve">California’s plan looked successful from 1996 through mid-1999.  San Diego Gas &amp; Electric (SDG&amp;E) was able to pay off its stranded costs early and, in July 1999, moved to establish market-based prices.  Retrospective studies show that demand for power declined in a range of 1.6 percent to 9 percent across the SDG&amp;E service area during this period (Information extracted from </w:t>
      </w:r>
      <w:r>
        <w:rPr>
          <w:rFonts w:cs="Frutiger 45 Light" w:ascii="Frutiger 45 Light" w:hAnsi="Frutiger 45 Light"/>
          <w:i/>
        </w:rPr>
        <w:t>Electricity Restructuring in California</w:t>
      </w:r>
      <w:r>
        <w:rPr>
          <w:rFonts w:cs="Frutiger 45 Light" w:ascii="Frutiger 45 Light" w:hAnsi="Frutiger 45 Light"/>
        </w:rPr>
        <w:t>, Case Study, Energy Institute, University of Houston-C.T. Bauer College of Business, 2001.).  But by May 2000, prices surged.  As SDG&amp;E customers saw their rates double, and warnings of lower reserves and rolling blackouts hit northern California, the Legislature and Gov. Gray Davis decided to act.  One bill reinstated price caps for SDG&amp;E customers, and a second bill intended to hasten the state’s approval process for new power plants.</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The California state Department of Water Resources and the Bonneville Power Administration traditionally swap supplies, with the former importing power during the summer and the latter taking electricity from California in the winter.  But California began to use the power supply that it usually sells, and the problem began to spread. Wholesale prices jumped in the Pacific Northwest during a particularly harsh cold spell in December 2000.  At the same time, a prolonged drought had reduced water levels at hydroelectric facilities in the region.</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Even before the crisis peaked in January 2001, many observers commented that political forces were as much to blame as operational and market issues.  A rift developed between federal and state jurisdictions, and the debate over the inadequacies of California’s power market design rippled through states.</w:t>
      </w:r>
    </w:p>
    <w:p>
      <w:pPr>
        <w:pStyle w:val="Normal"/>
        <w:jc w:val="both"/>
        <w:rPr>
          <w:rFonts w:ascii="Frutiger 45 Light" w:hAnsi="Frutiger 45 Light" w:cs="Frutiger 45 Light"/>
        </w:rPr>
      </w:pPr>
      <w:r>
        <w:rPr>
          <w:rFonts w:cs="Frutiger 45 Light" w:ascii="Frutiger 45 Light" w:hAnsi="Frutiger 45 Light"/>
        </w:rPr>
      </w:r>
    </w:p>
    <w:p>
      <w:pPr>
        <w:pStyle w:val="Heading1"/>
        <w:ind w:hanging="0" w:start="0"/>
        <w:rPr>
          <w:rFonts w:ascii="Frutiger 45 Light" w:hAnsi="Frutiger 45 Light" w:cs="Frutiger 45 Light"/>
          <w:sz w:val="24"/>
        </w:rPr>
      </w:pPr>
      <w:r>
        <w:rPr>
          <w:rFonts w:cs="Frutiger 45 Light" w:ascii="Frutiger 45 Light" w:hAnsi="Frutiger 45 Light"/>
        </w:rPr>
        <w:t>Ripples in Other States</w:t>
      </w:r>
    </w:p>
    <w:p>
      <w:pPr>
        <w:pStyle w:val="Normal"/>
        <w:jc w:val="both"/>
        <w:rPr>
          <w:rFonts w:ascii="Frutiger 45 Light" w:hAnsi="Frutiger 45 Light" w:cs="Frutiger 45 Light"/>
        </w:rPr>
      </w:pPr>
      <w:r>
        <w:rPr>
          <w:rFonts w:cs="Frutiger 45 Light" w:ascii="Frutiger 45 Light" w:hAnsi="Frutiger 45 Light"/>
        </w:rPr>
        <w:t xml:space="preserve">Other western governors and legislatures have become vocal about the pressure placed on their own markets and systems as the result of California’s energy import requirements.  While large, dominant utilities in these states have joined the RTO, western governors and legislatures adhere to public allegiance of states rights.  </w:t>
      </w:r>
    </w:p>
    <w:p>
      <w:pPr>
        <w:pStyle w:val="Normal"/>
        <w:jc w:val="both"/>
        <w:rPr>
          <w:rFonts w:ascii="Frutiger 45 Light" w:hAnsi="Frutiger 45 Light" w:cs="Frutiger 45 Light"/>
        </w:rPr>
      </w:pPr>
      <w:r>
        <w:rPr>
          <w:rFonts w:cs="Frutiger 45 Light" w:ascii="Frutiger 45 Light" w:hAnsi="Frutiger 45 Light"/>
        </w:rPr>
      </w:r>
    </w:p>
    <w:p>
      <w:pPr>
        <w:pStyle w:val="Normal"/>
        <w:jc w:val="both"/>
        <w:rPr>
          <w:rFonts w:ascii="Frutiger 45 Light" w:hAnsi="Frutiger 45 Light" w:cs="Frutiger 45 Light"/>
        </w:rPr>
      </w:pPr>
      <w:r>
        <w:rPr>
          <w:rFonts w:cs="Frutiger 45 Light" w:ascii="Frutiger 45 Light" w:hAnsi="Frutiger 45 Light"/>
        </w:rPr>
        <w:t>A number of incidents have been reported of water resources in Washington and Idaho being diverted from agricultural use to generate power for sale to California.  The exceptions are those participants that export power to California and have benefited from periodic surges in electricity prices.</w:t>
      </w:r>
    </w:p>
    <w:p>
      <w:pPr>
        <w:pStyle w:val="Normal"/>
        <w:jc w:val="both"/>
        <w:rPr>
          <w:rFonts w:ascii="Frutiger 45 Light" w:hAnsi="Frutiger 45 Light" w:cs="Frutiger 45 Light"/>
          <w:bCs/>
        </w:rPr>
      </w:pPr>
      <w:r>
        <w:rPr>
          <w:rFonts w:cs="Frutiger 45 Light" w:ascii="Frutiger 45 Light" w:hAnsi="Frutiger 45 Light"/>
          <w:bCs/>
        </w:rPr>
      </w:r>
    </w:p>
    <w:p>
      <w:pPr>
        <w:pStyle w:val="Normal"/>
        <w:jc w:val="both"/>
        <w:rPr/>
      </w:pPr>
      <w:r>
        <w:rPr>
          <w:rFonts w:cs="Frutiger 45 Light" w:ascii="Frutiger 45 Light" w:hAnsi="Frutiger 45 Light"/>
          <w:bCs/>
        </w:rPr>
        <w:t>Nevada</w:t>
      </w:r>
      <w:r>
        <w:rPr>
          <w:rFonts w:cs="Frutiger 45 Light" w:ascii="Frutiger 45 Light" w:hAnsi="Frutiger 45 Light"/>
        </w:rPr>
        <w:t xml:space="preserve"> repealed key provisions of its 1997 restructuring law, AB 369 in May 2001 – returning the utilities to full regulation, preventing the sale of power plants until July 2003, and extending a 17 percent rate hike until 2002.</w:t>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Frutiger 45 Light" w:hAnsi="Frutiger 45 Light" w:cs="Frutiger 45 Light"/>
        </w:rPr>
      </w:pPr>
      <w:r>
        <w:rPr>
          <w:rFonts w:cs="Frutiger 45 Light" w:ascii="Frutiger 45 Light" w:hAnsi="Frutiger 45 Light"/>
        </w:rPr>
      </w:r>
    </w:p>
    <w:p>
      <w:pPr>
        <w:pStyle w:val="Norma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rFonts w:ascii="Frutiger 45 Light" w:hAnsi="Frutiger 45 Light" w:cs="Frutiger 45 Light"/>
        </w:rPr>
      </w:pPr>
      <w:r>
        <w:rPr>
          <w:rFonts w:cs="Frutiger 45 Light" w:ascii="Frutiger 45 Light" w:hAnsi="Frutiger 45 Light"/>
        </w:rPr>
        <w:t>Federal responses to the crisis have also drawn criticism from California’s neighbors.  Nevada suffered a series of blackouts on July 2, 2001, an occurrence some observers attributed in part to the wholesale price mitigation measures ordered by FERC in June.  More recently, a number of western states, including Nevada, Oregon, Colorado, Idaho, Arizona, Montana and New Mexico, have filed with FERC their discontent with the price mitigation measures.  A number of utilities in these states have begun requesting upward rate revisions to offset losses from selling excess power from long-term contracts into an artificially depressed California wholesale market.</w:t>
      </w:r>
    </w:p>
    <w:p>
      <w:pPr>
        <w:pStyle w:val="Normal"/>
        <w:jc w:val="both"/>
        <w:rPr>
          <w:rFonts w:ascii="Frutiger 45 Light" w:hAnsi="Frutiger 45 Light" w:cs="Frutiger 45 Light"/>
        </w:rPr>
      </w:pPr>
      <w:r>
        <w:rPr>
          <w:rFonts w:cs="Frutiger 45 Light" w:ascii="Frutiger 45 Light" w:hAnsi="Frutiger 45 Light"/>
        </w:rPr>
      </w:r>
    </w:p>
    <w:p>
      <w:pPr>
        <w:pStyle w:val="Heading1"/>
        <w:ind w:hanging="0" w:start="0"/>
        <w:rPr>
          <w:rFonts w:ascii="Frutiger 45 Light" w:hAnsi="Frutiger 45 Light" w:cs="Frutiger 45 Light"/>
          <w:sz w:val="24"/>
        </w:rPr>
      </w:pPr>
      <w:r>
        <w:rPr>
          <w:rFonts w:cs="Frutiger 45 Light" w:ascii="Frutiger 45 Light" w:hAnsi="Frutiger 45 Light"/>
        </w:rPr>
        <w:t>Recent Events in Retrospect</w:t>
      </w:r>
    </w:p>
    <w:p>
      <w:pPr>
        <w:pStyle w:val="Normal"/>
        <w:jc w:val="both"/>
        <w:rPr>
          <w:rFonts w:ascii="Frutiger 45 Light" w:hAnsi="Frutiger 45 Light" w:cs="Frutiger 45 Light"/>
        </w:rPr>
      </w:pPr>
      <w:r>
        <w:rPr>
          <w:rFonts w:cs="Frutiger 45 Light" w:ascii="Frutiger 45 Light" w:hAnsi="Frutiger 45 Light"/>
        </w:rPr>
        <w:t>The urgency of the situation in California this year spurred a search for solutions that has dominated the electric power-restructuring scene.  As of end-August 2001, the most salient recent developments were:</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3"/>
        </w:numPr>
        <w:jc w:val="both"/>
        <w:rPr>
          <w:rFonts w:ascii="Frutiger 45 Light" w:hAnsi="Frutiger 45 Light" w:cs="Frutiger 45 Light"/>
        </w:rPr>
      </w:pPr>
      <w:r>
        <w:rPr>
          <w:rFonts w:cs="Frutiger 45 Light" w:ascii="Frutiger 45 Light" w:hAnsi="Frutiger 45 Light"/>
        </w:rPr>
        <w:t>The State of California has essentially moved to control much of the electric power business.  As part of a proposed debt reduction scheme, state lawmakers are pushing for public ownership of the cash-strapped utilities’ transmission assets.  Under its expanded emergency authority, the state has also engaged in power purchases and in May formed the Consumer Power and Conservation Financing Authority.  This new power authority held its first session on 24 August.  The entity has set broad goals for itself, including a 15 percent power reserve for California, which it hopes to reach using its mandated power to float up to $5 billion in bonds for energy projects.  The Authority has run into resistance, as FERC has warned that some of its powers could conflict with federal jurisdiction.  State lawmakers and power companies have questioned the role of the agency, but chairman S. David Freeman maintains that the existence and action of the Authority are necessary to protect consumers.</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3"/>
        </w:numPr>
        <w:jc w:val="both"/>
        <w:rPr>
          <w:rFonts w:ascii="Frutiger 45 Light" w:hAnsi="Frutiger 45 Light" w:cs="Frutiger 45 Light"/>
        </w:rPr>
      </w:pPr>
      <w:r>
        <w:rPr>
          <w:rFonts w:cs="Frutiger 45 Light" w:ascii="Frutiger 45 Light" w:hAnsi="Frutiger 45 Light"/>
        </w:rPr>
        <w:t>Southern California Edison (SCE) has persuaded its major creditors to suspend actions that could drag it into bankruptcy until state lawmakers have worked out a rescue plan.  State Assembly leaders and Governor Davis, in concert with SCE, have retooled a Senate bill to SCE’s liking.  The bill would allow the utility to float $2.9 billion in bonds, repayable by industrial ratepayers, and would give the state a five-year option to purchase SCE’s transmission lines for $2.4 billion, double book value.</w:t>
      </w:r>
    </w:p>
    <w:p>
      <w:pPr>
        <w:pStyle w:val="Normal"/>
        <w:jc w:val="both"/>
        <w:rPr>
          <w:rFonts w:ascii="Frutiger 45 Light" w:hAnsi="Frutiger 45 Light" w:cs="Frutiger 45 Light"/>
        </w:rPr>
      </w:pPr>
      <w:r>
        <w:rPr>
          <w:rFonts w:cs="Frutiger 45 Light" w:ascii="Frutiger 45 Light" w:hAnsi="Frutiger 45 Light"/>
        </w:rPr>
      </w:r>
    </w:p>
    <w:p>
      <w:pPr>
        <w:pStyle w:val="Normal"/>
        <w:numPr>
          <w:ilvl w:val="0"/>
          <w:numId w:val="3"/>
        </w:numPr>
        <w:jc w:val="both"/>
        <w:rPr>
          <w:rFonts w:ascii="Frutiger 45 Light" w:hAnsi="Frutiger 45 Light" w:cs="Frutiger 45 Light"/>
        </w:rPr>
      </w:pPr>
      <w:r>
        <w:rPr>
          <w:rFonts w:cs="Frutiger 45 Light" w:ascii="Frutiger 45 Light" w:hAnsi="Frutiger 45 Light"/>
        </w:rPr>
        <w:t xml:space="preserve">FERC’s expansion of its price mitigation measures in late June, for power across the entire Western Interconnect, based on natural gas prices and efficiencies of generating units.  FERC also is mediating the dispute with wholesale power providers and the state.  As of end-August 2001, mediation efforts to determine the dollar amount of the overcharges continued.  California seeks almost $9 billion, while FERC has estimated the overcharges at closer to $1 billion.  </w:t>
      </w:r>
    </w:p>
    <w:p>
      <w:pPr>
        <w:pStyle w:val="Header"/>
        <w:tabs>
          <w:tab w:val="clear" w:pos="4320"/>
          <w:tab w:val="clear" w:pos="8640"/>
        </w:tabs>
        <w:jc w:val="both"/>
        <w:rPr>
          <w:rFonts w:ascii="Frutiger 45 Light" w:hAnsi="Frutiger 45 Light" w:cs="Frutiger 45 Light"/>
        </w:rPr>
      </w:pPr>
      <w:r>
        <w:rPr>
          <w:rFonts w:cs="Frutiger 45 Light" w:ascii="Frutiger 45 Light" w:hAnsi="Frutiger 45 Light"/>
        </w:rPr>
      </w:r>
    </w:p>
    <w:p>
      <w:pPr>
        <w:pStyle w:val="Normal"/>
        <w:numPr>
          <w:ilvl w:val="0"/>
          <w:numId w:val="3"/>
        </w:numPr>
        <w:jc w:val="both"/>
        <w:rPr>
          <w:rFonts w:ascii="Frutiger 45 Light" w:hAnsi="Frutiger 45 Light" w:cs="Frutiger 45 Light"/>
        </w:rPr>
      </w:pPr>
      <w:r>
        <w:rPr>
          <w:rFonts w:cs="Frutiger 45 Light" w:ascii="Frutiger 45 Light" w:hAnsi="Frutiger 45 Light"/>
        </w:rPr>
        <w:t>Stimulated by cooler weather, federal price mitigation measures, retail price increases, and increased conservation, demand in California has declined an estimated 30 percent.  Southern California has been better able to curtail its power usage than has Northern California.</w:t>
      </w:r>
    </w:p>
    <w:p>
      <w:pPr>
        <w:pStyle w:val="Normal"/>
        <w:jc w:val="both"/>
        <w:rPr>
          <w:rFonts w:ascii="Frutiger 45 Light" w:hAnsi="Frutiger 45 Light" w:cs="Frutiger 45 Light"/>
        </w:rPr>
      </w:pPr>
      <w:r>
        <w:rPr>
          <w:rFonts w:cs="Frutiger 45 Light" w:ascii="Frutiger 45 Light" w:hAnsi="Frutiger 45 Light"/>
        </w:rPr>
      </w:r>
    </w:p>
    <w:p>
      <w:pPr>
        <w:pStyle w:val="Heading1"/>
        <w:ind w:hanging="0" w:start="0"/>
        <w:rPr>
          <w:sz w:val="24"/>
        </w:rPr>
      </w:pPr>
      <w:r>
        <w:rPr/>
        <w:t>Chronology of Significant Events</w:t>
      </w:r>
    </w:p>
    <w:p>
      <w:pPr>
        <w:pStyle w:val="Normal"/>
        <w:jc w:val="both"/>
        <w:rPr>
          <w:rFonts w:ascii="Frutiger 45 Light" w:hAnsi="Frutiger 45 Light" w:cs="Frutiger 45 Light"/>
        </w:rPr>
      </w:pPr>
      <w:r>
        <w:rPr>
          <w:rFonts w:cs="Frutiger 45 Light" w:ascii="Frutiger 45 Light" w:hAnsi="Frutiger 45 Light"/>
        </w:rPr>
        <w:t>The attached foldout timeline tracks the major events in restructuring electric power markets in California and the western U.S.</w:t>
      </w:r>
    </w:p>
    <w:p>
      <w:pPr>
        <w:pStyle w:val="Normal"/>
        <w:jc w:val="both"/>
        <w:rPr>
          <w:rFonts w:ascii="Frutiger 45 Light" w:hAnsi="Frutiger 45 Light" w:cs="Frutiger 45 Light"/>
        </w:rPr>
      </w:pPr>
      <w:r>
        <w:rPr>
          <w:rFonts w:cs="Frutiger 45 Light" w:ascii="Frutiger 45 Light" w:hAnsi="Frutiger 45 Light"/>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Frutiger 45 Light">
    <w:charset w:val="00" w:characterSet="windows-1252"/>
    <w:family w:val="swiss"/>
    <w:pitch w:val="variable"/>
  </w:font>
  <w:font w:name="Tahoma">
    <w:charset w:val="00" w:characterSet="windows-1252"/>
    <w:family w:val="swiss"/>
    <w:pitch w:val="variable"/>
  </w:font>
  <w:font w:name="Frutiger 55 Roman">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80" w:type="dxa"/>
      <w:jc w:val="start"/>
      <w:tblInd w:w="-792" w:type="dxa"/>
      <w:tblLayout w:type="fixed"/>
      <w:tblCellMar>
        <w:top w:w="0" w:type="dxa"/>
        <w:start w:w="108" w:type="dxa"/>
        <w:bottom w:w="0" w:type="dxa"/>
        <w:end w:w="108" w:type="dxa"/>
      </w:tblCellMar>
    </w:tblPr>
    <w:tblGrid>
      <w:gridCol w:w="9523"/>
      <w:gridCol w:w="557"/>
    </w:tblGrid>
    <w:tr>
      <w:trPr/>
      <w:tc>
        <w:tcPr>
          <w:tcW w:w="9523" w:type="dxa"/>
          <w:tcBorders/>
        </w:tcPr>
        <w:p>
          <w:pPr>
            <w:pStyle w:val="Footer"/>
            <w:snapToGrid w:val="false"/>
            <w:rPr>
              <w:rFonts w:ascii="Frutiger 45 Light" w:hAnsi="Frutiger 45 Light" w:cs="Frutiger 45 Light"/>
              <w:b/>
            </w:rPr>
          </w:pPr>
          <w:r>
            <w:rPr>
              <w:rFonts w:cs="Frutiger 45 Light" w:ascii="Frutiger 45 Light" w:hAnsi="Frutiger 45 Light"/>
              <w:b/>
            </w:rPr>
          </w:r>
        </w:p>
      </w:tc>
      <w:tc>
        <w:tcPr>
          <w:tcW w:w="557" w:type="dxa"/>
          <w:tcBorders/>
        </w:tcPr>
        <w:p>
          <w:pPr>
            <w:pStyle w:val="Footer"/>
            <w:snapToGrid w:val="false"/>
            <w:jc w:val="end"/>
            <w:rPr>
              <w:rStyle w:val="PageNumber"/>
              <w:rFonts w:ascii="Frutiger 45 Light" w:hAnsi="Frutiger 45 Light" w:cs="Frutiger 45 Light"/>
            </w:rPr>
          </w:pPr>
          <w:r>
            <w:rPr>
              <w:rFonts w:cs="Frutiger 45 Light" w:ascii="Frutiger 45 Light" w:hAnsi="Frutiger 45 Light"/>
              <w:b/>
            </w:rPr>
          </w:r>
        </w:p>
      </w:tc>
    </w:tr>
    <w:tr>
      <w:trPr/>
      <w:tc>
        <w:tcPr>
          <w:tcW w:w="9523" w:type="dxa"/>
          <w:tcBorders/>
        </w:tcPr>
        <w:p>
          <w:pPr>
            <w:pStyle w:val="Footer"/>
            <w:jc w:val="end"/>
            <w:rPr/>
          </w:pPr>
          <w:r>
            <w:rPr>
              <w:rFonts w:cs="Frutiger 45 Light" w:ascii="Frutiger 45 Light" w:hAnsi="Frutiger 45 Light"/>
              <w:b/>
            </w:rPr>
            <w:t>Alternative Futures for the Current “Energy Crisis”</w:t>
          </w:r>
        </w:p>
      </w:tc>
      <w:tc>
        <w:tcPr>
          <w:tcW w:w="557" w:type="dxa"/>
          <w:tcBorders/>
        </w:tcPr>
        <w:p>
          <w:pPr>
            <w:pStyle w:val="Footer"/>
            <w:jc w:val="end"/>
            <w:rPr>
              <w:rFonts w:ascii="Frutiger 45 Light" w:hAnsi="Frutiger 45 Light" w:cs="Frutiger 45 Light"/>
              <w:b/>
            </w:rPr>
          </w:pPr>
          <w:r>
            <w:rPr>
              <w:rStyle w:val="PageNumber"/>
              <w:rFonts w:cs="Frutiger 45 Light" w:ascii="Frutiger 45 Light" w:hAnsi="Frutiger 45 Light"/>
            </w:rPr>
            <w:fldChar w:fldCharType="begin"/>
          </w:r>
          <w:r>
            <w:rPr>
              <w:rStyle w:val="PageNumber"/>
              <w:rFonts w:cs="Frutiger 45 Light" w:ascii="Frutiger 45 Light" w:hAnsi="Frutiger 45 Light"/>
            </w:rPr>
            <w:instrText xml:space="preserve"> PAGE </w:instrText>
          </w:r>
          <w:r>
            <w:rPr>
              <w:rStyle w:val="PageNumber"/>
              <w:rFonts w:cs="Frutiger 45 Light" w:ascii="Frutiger 45 Light" w:hAnsi="Frutiger 45 Light"/>
            </w:rPr>
            <w:fldChar w:fldCharType="separate"/>
          </w:r>
          <w:r>
            <w:rPr>
              <w:rStyle w:val="PageNumber"/>
              <w:rFonts w:cs="Frutiger 45 Light" w:ascii="Frutiger 45 Light" w:hAnsi="Frutiger 45 Light"/>
            </w:rPr>
            <w:t>4</w:t>
          </w:r>
          <w:r>
            <w:rPr>
              <w:rStyle w:val="PageNumber"/>
              <w:rFonts w:cs="Frutiger 45 Light" w:ascii="Frutiger 45 Light" w:hAnsi="Frutiger 45 Light"/>
            </w:rPr>
            <w:fldChar w:fldCharType="end"/>
          </w:r>
        </w:p>
      </w:tc>
    </w:tr>
  </w:tbl>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080" w:type="dxa"/>
      <w:jc w:val="start"/>
      <w:tblInd w:w="-792" w:type="dxa"/>
      <w:tblLayout w:type="fixed"/>
      <w:tblCellMar>
        <w:top w:w="0" w:type="dxa"/>
        <w:start w:w="108" w:type="dxa"/>
        <w:bottom w:w="0" w:type="dxa"/>
        <w:end w:w="108" w:type="dxa"/>
      </w:tblCellMar>
    </w:tblPr>
    <w:tblGrid>
      <w:gridCol w:w="539"/>
      <w:gridCol w:w="9541"/>
    </w:tblGrid>
    <w:tr>
      <w:trPr/>
      <w:tc>
        <w:tcPr>
          <w:tcW w:w="539" w:type="dxa"/>
          <w:tcBorders/>
        </w:tcPr>
        <w:p>
          <w:pPr>
            <w:pStyle w:val="Footer"/>
            <w:snapToGrid w:val="false"/>
            <w:rPr>
              <w:rStyle w:val="PageNumber"/>
              <w:rFonts w:ascii="Frutiger 45 Light" w:hAnsi="Frutiger 45 Light" w:cs="Frutiger 45 Light"/>
            </w:rPr>
          </w:pPr>
          <w:r>
            <w:rPr/>
          </w:r>
        </w:p>
      </w:tc>
      <w:tc>
        <w:tcPr>
          <w:tcW w:w="9541" w:type="dxa"/>
          <w:tcBorders/>
        </w:tcPr>
        <w:p>
          <w:pPr>
            <w:pStyle w:val="Footer"/>
            <w:snapToGrid w:val="false"/>
            <w:rPr>
              <w:rStyle w:val="PageNumber"/>
              <w:rFonts w:ascii="Frutiger 45 Light" w:hAnsi="Frutiger 45 Light" w:cs="Frutiger 45 Light"/>
              <w:b/>
            </w:rPr>
          </w:pPr>
          <w:r>
            <w:rPr/>
          </w:r>
        </w:p>
      </w:tc>
    </w:tr>
    <w:tr>
      <w:trPr/>
      <w:tc>
        <w:tcPr>
          <w:tcW w:w="539" w:type="dxa"/>
          <w:tcBorders/>
        </w:tcPr>
        <w:p>
          <w:pPr>
            <w:pStyle w:val="Footer"/>
            <w:rPr>
              <w:rFonts w:ascii="Frutiger 45 Light" w:hAnsi="Frutiger 45 Light" w:cs="Frutiger 45 Light"/>
            </w:rPr>
          </w:pPr>
          <w:r>
            <w:rPr>
              <w:rStyle w:val="PageNumber"/>
              <w:rFonts w:cs="Frutiger 45 Light" w:ascii="Frutiger 45 Light" w:hAnsi="Frutiger 45 Light"/>
            </w:rPr>
            <w:fldChar w:fldCharType="begin"/>
          </w:r>
          <w:r>
            <w:rPr>
              <w:rStyle w:val="PageNumber"/>
              <w:rFonts w:cs="Frutiger 45 Light" w:ascii="Frutiger 45 Light" w:hAnsi="Frutiger 45 Light"/>
            </w:rPr>
            <w:instrText xml:space="preserve"> PAGE </w:instrText>
          </w:r>
          <w:r>
            <w:rPr>
              <w:rStyle w:val="PageNumber"/>
              <w:rFonts w:cs="Frutiger 45 Light" w:ascii="Frutiger 45 Light" w:hAnsi="Frutiger 45 Light"/>
            </w:rPr>
            <w:fldChar w:fldCharType="separate"/>
          </w:r>
          <w:r>
            <w:rPr>
              <w:rStyle w:val="PageNumber"/>
              <w:rFonts w:cs="Frutiger 45 Light" w:ascii="Frutiger 45 Light" w:hAnsi="Frutiger 45 Light"/>
            </w:rPr>
            <w:t>3</w:t>
          </w:r>
          <w:r>
            <w:rPr>
              <w:rStyle w:val="PageNumber"/>
              <w:rFonts w:cs="Frutiger 45 Light" w:ascii="Frutiger 45 Light" w:hAnsi="Frutiger 45 Light"/>
            </w:rPr>
            <w:fldChar w:fldCharType="end"/>
          </w:r>
        </w:p>
      </w:tc>
      <w:tc>
        <w:tcPr>
          <w:tcW w:w="9541" w:type="dxa"/>
          <w:tcBorders/>
        </w:tcPr>
        <w:p>
          <w:pPr>
            <w:pStyle w:val="Footer"/>
            <w:rPr>
              <w:rFonts w:ascii="Frutiger 45 Light" w:hAnsi="Frutiger 45 Light" w:cs="Frutiger 45 Light"/>
              <w:b/>
            </w:rPr>
          </w:pPr>
          <w:r>
            <w:rPr>
              <w:rFonts w:cs="Frutiger 45 Light" w:ascii="Frutiger 45 Light" w:hAnsi="Frutiger 45 Light"/>
              <w:b/>
            </w:rPr>
            <w:t>U.S. Energy Policy at a Crossroad</w:t>
          </w:r>
        </w:p>
      </w:tc>
    </w:tr>
  </w:tbl>
  <w:p>
    <w:pPr>
      <w:pStyle w:val="Footer"/>
      <w:rPr>
        <w:rFonts w:ascii="Frutiger 45 Light" w:hAnsi="Frutiger 45 Light" w:cs="Frutiger 45 Light"/>
      </w:rPr>
    </w:pPr>
    <w:r>
      <w:rPr>
        <w:rFonts w:cs="Frutiger 45 Light" w:ascii="Frutiger 45 Light" w:hAnsi="Frutiger 45 Light"/>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Frutiger 45 Light" w:hAnsi="Frutiger 45 Light" w:cs="Frutiger 45 Light"/>
        <w:bCs/>
      </w:rPr>
    </w:pPr>
    <w:r>
      <w:rPr>
        <w:rFonts w:cs="Frutiger 45 Light" w:ascii="Frutiger 45 Light" w:hAnsi="Frutiger 45 Light"/>
        <w:bCs/>
      </w:rPr>
    </w:r>
  </w:p>
  <w:p>
    <w:pPr>
      <w:pStyle w:val="Footer"/>
      <w:rPr>
        <w:rFonts w:ascii="Frutiger 45 Light" w:hAnsi="Frutiger 45 Light" w:cs="Frutiger 45 Light"/>
        <w:bCs/>
        <w:sz w:val="20"/>
      </w:rPr>
    </w:pPr>
    <w:r>
      <w:rPr>
        <w:rFonts w:cs="Frutiger 45 Light" w:ascii="Frutiger 45 Light" w:hAnsi="Frutiger 45 Light"/>
        <w:bCs/>
        <w:sz w:val="20"/>
      </w:rPr>
      <w:t>Note: This background paper is a product of Intellibridge Corporation, provided as a reference for event participants.  This document does not represent the opinions, research, nor conclusions of Enron Corp.  In no event shall Intellibridge Corporation nor Enron Corp. be liable to event participants nor any person for consequential, incidental, special, exemplary, punitive, or indirect damages that result from inaccuracy of the information provided herein.</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er"/>
            <w:rPr>
              <w:b/>
            </w:rPr>
          </w:pPr>
          <w:r>
            <w:rPr>
              <w:b/>
            </w:rPr>
            <w:t xml:space="preserve">DRAFT </w:t>
            <w:noBreakHyphen/>
            <w:t xml:space="preserve"> </w:t>
          </w:r>
          <w:r>
            <w:rPr>
              <w:b/>
            </w:rPr>
            <w:fldChar w:fldCharType="begin"/>
          </w:r>
          <w:r>
            <w:rPr>
              <w:b/>
            </w:rPr>
            <w:instrText xml:space="preserve"> DATE \@"MMMM\ d', 'yyyy" </w:instrText>
          </w:r>
          <w:r>
            <w:rPr>
              <w:b/>
            </w:rPr>
            <w:fldChar w:fldCharType="separate"/>
          </w:r>
          <w:r>
            <w:rPr>
              <w:b/>
            </w:rPr>
            <w:t>September 28, 2025</w:t>
          </w:r>
          <w:r>
            <w:rPr>
              <w:b/>
            </w:rPr>
            <w:fldChar w:fldCharType="end"/>
          </w:r>
        </w:p>
      </w:tc>
      <w:tc>
        <w:tcPr>
          <w:tcW w:w="4428" w:type="dxa"/>
          <w:tcBorders/>
        </w:tcPr>
        <w:p>
          <w:pPr>
            <w:pStyle w:val="Header"/>
            <w:snapToGrid w:val="false"/>
            <w:rPr>
              <w:b/>
            </w:rPr>
          </w:pPr>
          <w:r>
            <w:rPr>
              <w:b/>
            </w:rPr>
          </w:r>
        </w:p>
      </w:tc>
    </w:tr>
  </w:tbl>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8856" w:type="dxa"/>
      <w:jc w:val="start"/>
      <w:tblInd w:w="0" w:type="dxa"/>
      <w:tblLayout w:type="fixed"/>
      <w:tblCellMar>
        <w:top w:w="0" w:type="dxa"/>
        <w:start w:w="108" w:type="dxa"/>
        <w:bottom w:w="0" w:type="dxa"/>
        <w:end w:w="108" w:type="dxa"/>
      </w:tblCellMar>
    </w:tblPr>
    <w:tblGrid>
      <w:gridCol w:w="4428"/>
      <w:gridCol w:w="4428"/>
    </w:tblGrid>
    <w:tr>
      <w:trPr/>
      <w:tc>
        <w:tcPr>
          <w:tcW w:w="4428" w:type="dxa"/>
          <w:tcBorders/>
        </w:tcPr>
        <w:p>
          <w:pPr>
            <w:pStyle w:val="Header"/>
            <w:rPr>
              <w:rFonts w:ascii="Frutiger 45 Light" w:hAnsi="Frutiger 45 Light" w:cs="Frutiger 45 Light"/>
              <w:b/>
            </w:rPr>
          </w:pPr>
          <w:r>
            <w:rPr>
              <w:rFonts w:cs="Frutiger 45 Light" w:ascii="Frutiger 45 Light" w:hAnsi="Frutiger 45 Light"/>
              <w:b/>
            </w:rPr>
            <w:t xml:space="preserve">DRAFT </w:t>
            <w:noBreakHyphen/>
            <w:t xml:space="preserve"> </w:t>
          </w:r>
          <w:r>
            <w:rPr>
              <w:rFonts w:cs="Frutiger 45 Light" w:ascii="Frutiger 45 Light" w:hAnsi="Frutiger 45 Light"/>
              <w:b/>
            </w:rPr>
            <w:fldChar w:fldCharType="begin"/>
          </w:r>
          <w:r>
            <w:rPr>
              <w:b/>
              <w:rFonts w:cs="Frutiger 45 Light" w:ascii="Frutiger 45 Light" w:hAnsi="Frutiger 45 Light"/>
            </w:rPr>
            <w:instrText xml:space="preserve"> DATE \@"MMMM\ d', 'yyyy" </w:instrText>
          </w:r>
          <w:r>
            <w:rPr>
              <w:b/>
              <w:rFonts w:cs="Frutiger 45 Light" w:ascii="Frutiger 45 Light" w:hAnsi="Frutiger 45 Light"/>
            </w:rPr>
            <w:fldChar w:fldCharType="separate"/>
          </w:r>
          <w:r>
            <w:rPr>
              <w:b/>
              <w:rFonts w:cs="Frutiger 45 Light" w:ascii="Frutiger 45 Light" w:hAnsi="Frutiger 45 Light"/>
            </w:rPr>
            <w:t>September 28, 2025</w:t>
          </w:r>
          <w:r>
            <w:rPr>
              <w:b/>
              <w:rFonts w:cs="Frutiger 45 Light" w:ascii="Frutiger 45 Light" w:hAnsi="Frutiger 45 Light"/>
            </w:rPr>
            <w:fldChar w:fldCharType="end"/>
          </w:r>
        </w:p>
      </w:tc>
      <w:tc>
        <w:tcPr>
          <w:tcW w:w="4428" w:type="dxa"/>
          <w:tcBorders/>
        </w:tcPr>
        <w:p>
          <w:pPr>
            <w:pStyle w:val="Header"/>
            <w:snapToGrid w:val="false"/>
            <w:rPr>
              <w:rFonts w:ascii="Frutiger 45 Light" w:hAnsi="Frutiger 45 Light" w:cs="Frutiger 45 Light"/>
              <w:b/>
            </w:rPr>
          </w:pPr>
          <w:r>
            <w:rPr>
              <w:rFonts w:cs="Frutiger 45 Light" w:ascii="Frutiger 45 Light" w:hAnsi="Frutiger 45 Light"/>
              <w:b/>
            </w:rPr>
          </w:r>
        </w:p>
      </w:tc>
    </w:tr>
  </w:tbl>
  <w:p>
    <w:pPr>
      <w:pStyle w:val="Header"/>
      <w:rPr>
        <w:rFonts w:ascii="Frutiger 45 Light" w:hAnsi="Frutiger 45 Light" w:cs="Frutiger 45 Light"/>
        <w:b/>
      </w:rPr>
    </w:pPr>
    <w:r>
      <w:rPr>
        <w:rFonts w:cs="Frutiger 45 Light" w:ascii="Frutiger 45 Light" w:hAnsi="Frutiger 45 Light"/>
        <w:b/>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rPr>
        <w:sz w:val="32"/>
      </w:rPr>
    </w:lvl>
    <w:lvl w:ilvl="1">
      <w:start w:val="1"/>
      <w:pStyle w:val="Heading2"/>
      <w:numFmt w:val="upperLetter"/>
      <w:lvlText w:val="%2."/>
      <w:lvlJc w:val="start"/>
      <w:pPr>
        <w:tabs>
          <w:tab w:val="num" w:pos="1080"/>
        </w:tabs>
        <w:ind w:start="720" w:hanging="0"/>
      </w:pPr>
      <w:rPr/>
    </w:lvl>
    <w:lvl w:ilvl="2">
      <w:start w:val="1"/>
      <w:pStyle w:val="Heading3"/>
      <w:numFmt w:val="decimal"/>
      <w:lvlText w:val="%3."/>
      <w:lvlJc w:val="start"/>
      <w:pPr>
        <w:tabs>
          <w:tab w:val="num" w:pos="1800"/>
        </w:tabs>
        <w:ind w:start="1440" w:hanging="0"/>
      </w:pPr>
      <w:rPr/>
    </w:lvl>
    <w:lvl w:ilvl="3">
      <w:start w:val="1"/>
      <w:pStyle w:val="Heading4"/>
      <w:numFmt w:val="lowerLetter"/>
      <w:lvlText w:val="%4)"/>
      <w:lvlJc w:val="start"/>
      <w:pPr>
        <w:tabs>
          <w:tab w:val="num" w:pos="2520"/>
        </w:tabs>
        <w:ind w:start="2160" w:hanging="0"/>
      </w:pPr>
      <w:rPr/>
    </w:lvl>
    <w:lvl w:ilvl="4">
      <w:start w:val="1"/>
      <w:pStyle w:val="Heading5"/>
      <w:numFmt w:val="decimal"/>
      <w:lvlText w:val="(%5)"/>
      <w:lvlJc w:val="start"/>
      <w:pPr>
        <w:tabs>
          <w:tab w:val="num" w:pos="3240"/>
        </w:tabs>
        <w:ind w:start="2880" w:hanging="0"/>
      </w:pPr>
      <w:rPr/>
    </w:lvl>
    <w:lvl w:ilvl="5">
      <w:start w:val="1"/>
      <w:pStyle w:val="Heading6"/>
      <w:numFmt w:val="lowerLetter"/>
      <w:lvlText w:val="(%6)"/>
      <w:lvlJc w:val="start"/>
      <w:pPr>
        <w:tabs>
          <w:tab w:val="num" w:pos="3960"/>
        </w:tabs>
        <w:ind w:start="3600" w:hanging="0"/>
      </w:pPr>
      <w:rPr/>
    </w:lvl>
    <w:lvl w:ilvl="6">
      <w:start w:val="1"/>
      <w:pStyle w:val="Heading7"/>
      <w:numFmt w:val="lowerRoman"/>
      <w:lvlText w:val="(%7)"/>
      <w:lvlJc w:val="start"/>
      <w:pPr>
        <w:tabs>
          <w:tab w:val="num" w:pos="4680"/>
        </w:tabs>
        <w:ind w:start="4320" w:hanging="0"/>
      </w:pPr>
      <w:rPr/>
    </w:lvl>
    <w:lvl w:ilvl="7">
      <w:start w:val="1"/>
      <w:pStyle w:val="Heading8"/>
      <w:numFmt w:val="lowerLetter"/>
      <w:lvlText w:val="(%8)"/>
      <w:lvlJc w:val="start"/>
      <w:pPr>
        <w:tabs>
          <w:tab w:val="num" w:pos="5400"/>
        </w:tabs>
        <w:ind w:start="5040" w:hanging="0"/>
      </w:pPr>
      <w:rPr/>
    </w:lvl>
    <w:lvl w:ilvl="8">
      <w:start w:val="1"/>
      <w:pStyle w:val="Heading9"/>
      <w:numFmt w:val="lowerRoman"/>
      <w:lvlText w:val="(%9)"/>
      <w:lvlJc w:val="start"/>
      <w:pPr>
        <w:tabs>
          <w:tab w:val="num" w:pos="6120"/>
        </w:tabs>
        <w:ind w:start="5760" w:hanging="0"/>
      </w:pPr>
      <w:r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75"/>
  <w:defaultTabStop w:val="720"/>
  <w:autoHyphenation w:val="true"/>
  <w:hyphenationZone w:val="0"/>
  <w:evenAndOddHeaders/>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spacing w:before="240" w:after="60"/>
      <w:outlineLvl w:val="0"/>
    </w:pPr>
    <w:rPr>
      <w:rFonts w:ascii="Arial" w:hAnsi="Arial" w:cs="Arial"/>
      <w:b/>
      <w:bCs/>
      <w:kern w:val="2"/>
      <w:sz w:val="32"/>
      <w:szCs w:val="32"/>
    </w:rPr>
  </w:style>
  <w:style w:type="paragraph" w:styleId="Heading2">
    <w:name w:val="heading 2"/>
    <w:basedOn w:val="Normal"/>
    <w:next w:val="Normal"/>
    <w:qFormat/>
    <w:pPr>
      <w:keepNext w:val="true"/>
      <w:numPr>
        <w:ilvl w:val="1"/>
        <w:numId w:val="1"/>
      </w:numPr>
      <w:spacing w:before="240" w:after="60"/>
      <w:outlineLvl w:val="1"/>
    </w:pPr>
    <w:rPr>
      <w:rFonts w:ascii="Arial" w:hAnsi="Arial" w:cs="Arial"/>
      <w:b/>
      <w:bCs/>
      <w:i/>
      <w:iCs/>
      <w:sz w:val="28"/>
      <w:szCs w:val="28"/>
    </w:rPr>
  </w:style>
  <w:style w:type="paragraph" w:styleId="Heading3">
    <w:name w:val="heading 3"/>
    <w:basedOn w:val="Normal"/>
    <w:next w:val="Normal"/>
    <w:qFormat/>
    <w:pPr>
      <w:keepNext w:val="true"/>
      <w:numPr>
        <w:ilvl w:val="2"/>
        <w:numId w:val="1"/>
      </w:numPr>
      <w:spacing w:before="240" w:after="60"/>
      <w:outlineLvl w:val="2"/>
    </w:pPr>
    <w:rPr>
      <w:rFonts w:ascii="Arial" w:hAnsi="Arial" w:cs="Arial"/>
      <w:b/>
      <w:bCs/>
      <w:sz w:val="26"/>
      <w:szCs w:val="26"/>
    </w:rPr>
  </w:style>
  <w:style w:type="paragraph" w:styleId="Heading4">
    <w:name w:val="heading 4"/>
    <w:basedOn w:val="Normal"/>
    <w:next w:val="Normal"/>
    <w:qFormat/>
    <w:pPr>
      <w:keepNext w:val="true"/>
      <w:numPr>
        <w:ilvl w:val="3"/>
        <w:numId w:val="1"/>
      </w:numPr>
      <w:spacing w:before="240" w:after="60"/>
      <w:outlineLvl w:val="3"/>
    </w:pPr>
    <w:rPr>
      <w:b/>
      <w:bCs/>
      <w:sz w:val="28"/>
      <w:szCs w:val="28"/>
    </w:rPr>
  </w:style>
  <w:style w:type="paragraph" w:styleId="Heading5">
    <w:name w:val="heading 5"/>
    <w:basedOn w:val="Normal"/>
    <w:next w:val="Normal"/>
    <w:qFormat/>
    <w:pPr>
      <w:numPr>
        <w:ilvl w:val="4"/>
        <w:numId w:val="1"/>
      </w:numPr>
      <w:spacing w:before="240" w:after="60"/>
      <w:outlineLvl w:val="4"/>
    </w:pPr>
    <w:rPr>
      <w:b/>
      <w:bCs/>
      <w:i/>
      <w:iCs/>
      <w:sz w:val="26"/>
      <w:szCs w:val="26"/>
    </w:rPr>
  </w:style>
  <w:style w:type="paragraph" w:styleId="Heading6">
    <w:name w:val="heading 6"/>
    <w:basedOn w:val="Normal"/>
    <w:next w:val="Normal"/>
    <w:qFormat/>
    <w:pPr>
      <w:numPr>
        <w:ilvl w:val="5"/>
        <w:numId w:val="1"/>
      </w:numPr>
      <w:spacing w:before="240" w:after="60"/>
      <w:outlineLvl w:val="5"/>
    </w:pPr>
    <w:rPr>
      <w:b/>
      <w:bCs/>
      <w:sz w:val="22"/>
      <w:szCs w:val="22"/>
    </w:rPr>
  </w:style>
  <w:style w:type="paragraph" w:styleId="Heading7">
    <w:name w:val="heading 7"/>
    <w:basedOn w:val="Normal"/>
    <w:next w:val="Normal"/>
    <w:qFormat/>
    <w:pPr>
      <w:numPr>
        <w:ilvl w:val="6"/>
        <w:numId w:val="1"/>
      </w:numPr>
      <w:spacing w:before="240" w:after="60"/>
      <w:outlineLvl w:val="6"/>
    </w:pPr>
    <w:rPr/>
  </w:style>
  <w:style w:type="paragraph" w:styleId="Heading8">
    <w:name w:val="heading 8"/>
    <w:basedOn w:val="Normal"/>
    <w:next w:val="Normal"/>
    <w:qFormat/>
    <w:pPr>
      <w:numPr>
        <w:ilvl w:val="7"/>
        <w:numId w:val="1"/>
      </w:numPr>
      <w:spacing w:before="240" w:after="60"/>
      <w:outlineLvl w:val="7"/>
    </w:pPr>
    <w:rPr>
      <w:i/>
      <w:iCs/>
    </w:rPr>
  </w:style>
  <w:style w:type="paragraph" w:styleId="Heading9">
    <w:name w:val="heading 9"/>
    <w:basedOn w:val="Normal"/>
    <w:next w:val="Normal"/>
    <w:qFormat/>
    <w:pPr>
      <w:numPr>
        <w:ilvl w:val="8"/>
        <w:numId w:val="1"/>
      </w:numPr>
      <w:spacing w:before="240" w:after="60"/>
      <w:outlineLvl w:val="8"/>
    </w:pPr>
    <w:rPr>
      <w:rFonts w:ascii="Arial" w:hAnsi="Arial" w:cs="Arial"/>
      <w:sz w:val="22"/>
      <w:szCs w:val="22"/>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Wingdings" w:hAnsi="Wingdings" w:cs="Wingdings"/>
    </w:rPr>
  </w:style>
  <w:style w:type="character" w:styleId="WW8Num4z1">
    <w:name w:val="WW8Num4z1"/>
    <w:qFormat/>
    <w:rPr>
      <w:rFonts w:ascii="Frutiger 45 Light" w:hAnsi="Frutiger 45 Light" w:cs="Frutiger 45 Light"/>
    </w:rPr>
  </w:style>
  <w:style w:type="character" w:styleId="WW8Num4z3">
    <w:name w:val="WW8Num4z3"/>
    <w:qFormat/>
    <w:rPr>
      <w:rFonts w:ascii="Symbol" w:hAnsi="Symbol" w:cs="Symbol"/>
    </w:rPr>
  </w:style>
  <w:style w:type="character" w:styleId="WW8Num4z4">
    <w:name w:val="WW8Num4z4"/>
    <w:qFormat/>
    <w:rPr>
      <w:rFonts w:ascii="Courier New" w:hAnsi="Courier New" w:cs="Courier New"/>
    </w:rPr>
  </w:style>
  <w:style w:type="character" w:styleId="WW8Num5z0">
    <w:name w:val="WW8Num5z0"/>
    <w:qFormat/>
    <w:rPr>
      <w:rFonts w:ascii="Symbol" w:hAnsi="Symbol" w:cs="Symbol"/>
    </w:rPr>
  </w:style>
  <w:style w:type="character" w:styleId="WW8Num5z1">
    <w:name w:val="WW8Num5z1"/>
    <w:qFormat/>
    <w:rPr>
      <w:rFonts w:ascii="Courier New" w:hAnsi="Courier New" w:cs="Courier New"/>
    </w:rPr>
  </w:style>
  <w:style w:type="character" w:styleId="WW8Num5z2">
    <w:name w:val="WW8Num5z2"/>
    <w:qFormat/>
    <w:rPr>
      <w:rFonts w:ascii="Wingdings" w:hAnsi="Wingdings" w:cs="Wingdings"/>
    </w:rPr>
  </w:style>
  <w:style w:type="character" w:styleId="WW8Num6z0">
    <w:name w:val="WW8Num6z0"/>
    <w:qFormat/>
    <w:rPr>
      <w:rFonts w:ascii="Symbol" w:hAnsi="Symbol" w:cs="Symbol"/>
    </w:rPr>
  </w:style>
  <w:style w:type="character" w:styleId="WW8Num6z2">
    <w:name w:val="WW8Num6z2"/>
    <w:qFormat/>
    <w:rPr>
      <w:rFonts w:ascii="Wingdings" w:hAnsi="Wingdings" w:cs="Wingdings"/>
    </w:rPr>
  </w:style>
  <w:style w:type="character" w:styleId="WW8Num6z4">
    <w:name w:val="WW8Num6z4"/>
    <w:qFormat/>
    <w:rPr>
      <w:rFonts w:ascii="Courier New" w:hAnsi="Courier New" w:cs="Courier New"/>
    </w:rPr>
  </w:style>
  <w:style w:type="character" w:styleId="WW8Num7z0">
    <w:name w:val="WW8Num7z0"/>
    <w:qFormat/>
    <w:rPr>
      <w:rFonts w:ascii="Symbol" w:hAnsi="Symbol" w:cs="Symbol"/>
    </w:rPr>
  </w:style>
  <w:style w:type="character" w:styleId="WW8Num7z1">
    <w:name w:val="WW8Num7z1"/>
    <w:qFormat/>
    <w:rPr>
      <w:rFonts w:ascii="Courier New" w:hAnsi="Courier New" w:cs="Courier New"/>
    </w:rPr>
  </w:style>
  <w:style w:type="character" w:styleId="WW8Num7z2">
    <w:name w:val="WW8Num7z2"/>
    <w:qFormat/>
    <w:rPr>
      <w:rFonts w:ascii="Wingdings" w:hAnsi="Wingdings" w:cs="Wingdings"/>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Symbol" w:hAnsi="Symbol" w:cs="Symbol"/>
    </w:rPr>
  </w:style>
  <w:style w:type="character" w:styleId="WW8Num9z1">
    <w:name w:val="WW8Num9z1"/>
    <w:qFormat/>
    <w:rPr>
      <w:rFonts w:ascii="Courier New" w:hAnsi="Courier New" w:cs="Courier New"/>
    </w:rPr>
  </w:style>
  <w:style w:type="character" w:styleId="WW8Num9z2">
    <w:name w:val="WW8Num9z2"/>
    <w:qFormat/>
    <w:rPr>
      <w:rFonts w:ascii="Wingdings" w:hAnsi="Wingdings" w:cs="Wingdings"/>
    </w:rPr>
  </w:style>
  <w:style w:type="character" w:styleId="WW8Num10z0">
    <w:name w:val="WW8Num10z0"/>
    <w:qFormat/>
    <w:rPr>
      <w:rFonts w:ascii="Symbol" w:hAnsi="Symbol" w:cs="Symbol"/>
    </w:rPr>
  </w:style>
  <w:style w:type="character" w:styleId="WW8Num10z1">
    <w:name w:val="WW8Num10z1"/>
    <w:qFormat/>
    <w:rPr>
      <w:rFonts w:ascii="Frutiger 45 Light" w:hAnsi="Frutiger 45 Light" w:cs="Frutiger 45 Light"/>
    </w:rPr>
  </w:style>
  <w:style w:type="character" w:styleId="WW8Num10z2">
    <w:name w:val="WW8Num10z2"/>
    <w:qFormat/>
    <w:rPr>
      <w:rFonts w:ascii="Wingdings" w:hAnsi="Wingdings" w:cs="Wingdings"/>
    </w:rPr>
  </w:style>
  <w:style w:type="character" w:styleId="WW8Num10z4">
    <w:name w:val="WW8Num10z4"/>
    <w:qFormat/>
    <w:rPr>
      <w:rFonts w:ascii="Courier New" w:hAnsi="Courier New" w:cs="Courier New"/>
    </w:rPr>
  </w:style>
  <w:style w:type="character" w:styleId="WW8Num11z0">
    <w:name w:val="WW8Num11z0"/>
    <w:qFormat/>
    <w:rPr>
      <w:rFonts w:ascii="Symbol" w:hAnsi="Symbol" w:cs="Symbol"/>
    </w:rPr>
  </w:style>
  <w:style w:type="character" w:styleId="WW8Num11z1">
    <w:name w:val="WW8Num11z1"/>
    <w:qFormat/>
    <w:rPr>
      <w:rFonts w:ascii="Courier New" w:hAnsi="Courier New" w:cs="Courier New"/>
    </w:rPr>
  </w:style>
  <w:style w:type="character" w:styleId="WW8Num11z2">
    <w:name w:val="WW8Num11z2"/>
    <w:qFormat/>
    <w:rPr>
      <w:rFonts w:ascii="Wingdings" w:hAnsi="Wingdings" w:cs="Wingdings"/>
    </w:rPr>
  </w:style>
  <w:style w:type="character" w:styleId="WW8Num12z0">
    <w:name w:val="WW8Num12z0"/>
    <w:qFormat/>
    <w:rPr>
      <w:rFonts w:ascii="Symbol" w:hAnsi="Symbol" w:cs="Symbol"/>
    </w:rPr>
  </w:style>
  <w:style w:type="character" w:styleId="WW8Num12z1">
    <w:name w:val="WW8Num12z1"/>
    <w:qFormat/>
    <w:rPr>
      <w:rFonts w:ascii="Courier New" w:hAnsi="Courier New" w:cs="Courier New"/>
    </w:rPr>
  </w:style>
  <w:style w:type="character" w:styleId="WW8Num12z2">
    <w:name w:val="WW8Num12z2"/>
    <w:qFormat/>
    <w:rPr>
      <w:rFonts w:ascii="Wingdings" w:hAnsi="Wingdings" w:cs="Wingdings"/>
    </w:rPr>
  </w:style>
  <w:style w:type="character" w:styleId="WW8Num13z0">
    <w:name w:val="WW8Num13z0"/>
    <w:qFormat/>
    <w:rPr>
      <w:rFonts w:ascii="Symbol" w:hAnsi="Symbol" w:cs="Symbol"/>
    </w:rPr>
  </w:style>
  <w:style w:type="character" w:styleId="WW8Num13z1">
    <w:name w:val="WW8Num13z1"/>
    <w:qFormat/>
    <w:rPr>
      <w:rFonts w:ascii="Courier New" w:hAnsi="Courier New" w:cs="Courier New"/>
    </w:rPr>
  </w:style>
  <w:style w:type="character" w:styleId="WW8Num13z2">
    <w:name w:val="WW8Num13z2"/>
    <w:qFormat/>
    <w:rPr>
      <w:rFonts w:ascii="Wingdings" w:hAnsi="Wingdings" w:cs="Wingdings"/>
    </w:rPr>
  </w:style>
  <w:style w:type="character" w:styleId="WW8Num14z0">
    <w:name w:val="WW8Num14z0"/>
    <w:qFormat/>
    <w:rPr>
      <w:rFonts w:ascii="Symbol" w:hAnsi="Symbol" w:cs="Symbol"/>
    </w:rPr>
  </w:style>
  <w:style w:type="character" w:styleId="WW8Num15z0">
    <w:name w:val="WW8Num15z0"/>
    <w:qFormat/>
    <w:rPr>
      <w:rFonts w:ascii="Symbol" w:hAnsi="Symbol" w:cs="Symbol"/>
    </w:rPr>
  </w:style>
  <w:style w:type="character" w:styleId="WW8Num15z1">
    <w:name w:val="WW8Num15z1"/>
    <w:qFormat/>
    <w:rPr>
      <w:rFonts w:ascii="Courier New" w:hAnsi="Courier New" w:cs="Courier New"/>
    </w:rPr>
  </w:style>
  <w:style w:type="character" w:styleId="WW8Num15z2">
    <w:name w:val="WW8Num15z2"/>
    <w:qFormat/>
    <w:rPr>
      <w:rFonts w:ascii="Wingdings" w:hAnsi="Wingdings" w:cs="Wingdings"/>
    </w:rPr>
  </w:style>
  <w:style w:type="character" w:styleId="WW8Num16z0">
    <w:name w:val="WW8Num16z0"/>
    <w:qFormat/>
    <w:rPr>
      <w:rFonts w:ascii="Symbol" w:hAnsi="Symbol" w:cs="Symbol"/>
    </w:rPr>
  </w:style>
  <w:style w:type="character" w:styleId="WW8Num16z1">
    <w:name w:val="WW8Num16z1"/>
    <w:qFormat/>
    <w:rPr>
      <w:rFonts w:ascii="Courier New" w:hAnsi="Courier New" w:cs="Courier New"/>
    </w:rPr>
  </w:style>
  <w:style w:type="character" w:styleId="WW8Num16z2">
    <w:name w:val="WW8Num16z2"/>
    <w:qFormat/>
    <w:rPr>
      <w:rFonts w:ascii="Wingdings" w:hAnsi="Wingdings" w:cs="Wingdings"/>
    </w:rPr>
  </w:style>
  <w:style w:type="character" w:styleId="WW8Num17z0">
    <w:name w:val="WW8Num17z0"/>
    <w:qFormat/>
    <w:rPr>
      <w:rFonts w:ascii="Symbol" w:hAnsi="Symbol" w:cs="Symbol"/>
    </w:rPr>
  </w:style>
  <w:style w:type="character" w:styleId="WW8Num17z1">
    <w:name w:val="WW8Num17z1"/>
    <w:qFormat/>
    <w:rPr>
      <w:rFonts w:ascii="Courier New" w:hAnsi="Courier New" w:cs="Courier New"/>
    </w:rPr>
  </w:style>
  <w:style w:type="character" w:styleId="WW8Num17z2">
    <w:name w:val="WW8Num17z2"/>
    <w:qFormat/>
    <w:rPr>
      <w:rFonts w:ascii="Wingdings" w:hAnsi="Wingdings" w:cs="Wingdings"/>
    </w:rPr>
  </w:style>
  <w:style w:type="character" w:styleId="WW8Num18z0">
    <w:name w:val="WW8Num18z0"/>
    <w:qFormat/>
    <w:rPr>
      <w:rFonts w:ascii="Symbol" w:hAnsi="Symbol" w:cs="Symbol"/>
    </w:rPr>
  </w:style>
  <w:style w:type="character" w:styleId="WW8Num18z1">
    <w:name w:val="WW8Num18z1"/>
    <w:qFormat/>
    <w:rPr>
      <w:rFonts w:ascii="Courier New" w:hAnsi="Courier New" w:cs="Courier New"/>
    </w:rPr>
  </w:style>
  <w:style w:type="character" w:styleId="WW8Num18z2">
    <w:name w:val="WW8Num18z2"/>
    <w:qFormat/>
    <w:rPr>
      <w:rFonts w:ascii="Wingdings" w:hAnsi="Wingdings" w:cs="Wingdings"/>
    </w:rPr>
  </w:style>
  <w:style w:type="character" w:styleId="WW8Num19z0">
    <w:name w:val="WW8Num19z0"/>
    <w:qFormat/>
    <w:rPr>
      <w:rFonts w:ascii="Symbol" w:hAnsi="Symbol" w:cs="Symbol"/>
    </w:rPr>
  </w:style>
  <w:style w:type="character" w:styleId="WW8Num19z1">
    <w:name w:val="WW8Num19z1"/>
    <w:qFormat/>
    <w:rPr>
      <w:rFonts w:ascii="Courier New" w:hAnsi="Courier New" w:cs="Courier New"/>
    </w:rPr>
  </w:style>
  <w:style w:type="character" w:styleId="WW8Num19z2">
    <w:name w:val="WW8Num19z2"/>
    <w:qFormat/>
    <w:rPr>
      <w:rFonts w:ascii="Wingdings" w:hAnsi="Wingdings" w:cs="Wingdings"/>
    </w:rPr>
  </w:style>
  <w:style w:type="character" w:styleId="WW8Num20z0">
    <w:name w:val="WW8Num20z0"/>
    <w:qFormat/>
    <w:rPr>
      <w:sz w:val="32"/>
    </w:rPr>
  </w:style>
  <w:style w:type="character" w:styleId="WW8Num20z1">
    <w:name w:val="WW8Num20z1"/>
    <w:qFormat/>
    <w:rPr/>
  </w:style>
  <w:style w:type="character" w:styleId="WW8Num21z0">
    <w:name w:val="WW8Num21z0"/>
    <w:qFormat/>
    <w:rPr>
      <w:rFonts w:ascii="Frutiger 45 Light" w:hAnsi="Frutiger 45 Light" w:cs="Frutiger 45 Light"/>
    </w:rPr>
  </w:style>
  <w:style w:type="character" w:styleId="WW8Num21z2">
    <w:name w:val="WW8Num21z2"/>
    <w:qFormat/>
    <w:rPr>
      <w:rFonts w:ascii="Wingdings" w:hAnsi="Wingdings" w:cs="Wingdings"/>
    </w:rPr>
  </w:style>
  <w:style w:type="character" w:styleId="WW8Num21z3">
    <w:name w:val="WW8Num21z3"/>
    <w:qFormat/>
    <w:rPr>
      <w:rFonts w:ascii="Symbol" w:hAnsi="Symbol" w:cs="Symbol"/>
    </w:rPr>
  </w:style>
  <w:style w:type="character" w:styleId="WW8Num21z4">
    <w:name w:val="WW8Num21z4"/>
    <w:qFormat/>
    <w:rPr>
      <w:rFonts w:ascii="Courier New" w:hAnsi="Courier New" w:cs="Courier New"/>
    </w:rPr>
  </w:style>
  <w:style w:type="character" w:styleId="WW8Num22z0">
    <w:name w:val="WW8Num22z0"/>
    <w:qFormat/>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otnoteCharacters">
    <w:name w:val="Footnote Characters"/>
    <w:basedOn w:val="DefaultParagraphFont"/>
    <w:qFormat/>
    <w:rPr>
      <w:vertAlign w:val="superscript"/>
    </w:rPr>
  </w:style>
  <w:style w:type="character" w:styleId="Strong">
    <w:name w:val="Strong"/>
    <w:basedOn w:val="DefaultParagraphFont"/>
    <w:qFormat/>
    <w:rPr>
      <w:b/>
      <w:bCs/>
    </w:rPr>
  </w:style>
  <w:style w:type="character" w:styleId="Emphasis">
    <w:name w:val="Emphasis"/>
    <w:basedOn w:val="DefaultParagraphFont"/>
    <w:qFormat/>
    <w:rPr>
      <w:i/>
      <w:iCs/>
    </w:rPr>
  </w:style>
  <w:style w:type="character" w:styleId="FollowedHyperlink">
    <w:name w:val="FollowedHyperlink"/>
    <w:basedOn w:val="DefaultParagraphFont"/>
    <w:rPr>
      <w:color w:val="800080"/>
      <w:u w:val="single"/>
    </w:rPr>
  </w:style>
  <w:style w:type="character" w:styleId="copy1">
    <w:name w:val="copy1"/>
    <w:basedOn w:val="DefaultParagraphFont"/>
    <w:qFormat/>
    <w:rPr>
      <w:rFonts w:ascii="Arial" w:hAnsi="Arial" w:cs="Arial"/>
      <w:b w:val="false"/>
      <w:bCs w:val="false"/>
      <w:color w:val="000000"/>
      <w:sz w:val="20"/>
      <w:szCs w:val="20"/>
    </w:rPr>
  </w:style>
  <w:style w:type="character" w:styleId="PageNumber">
    <w:name w:val="page number"/>
    <w:basedOn w:val="DefaultParagraphFont"/>
    <w:rPr/>
  </w:style>
  <w:style w:type="paragraph" w:styleId="Heading">
    <w:name w:val="Heading"/>
    <w:basedOn w:val="Normal"/>
    <w:next w:val="BodyText"/>
    <w:qFormat/>
    <w:pPr>
      <w:jc w:val="center"/>
    </w:pPr>
    <w:rPr>
      <w:b/>
      <w:sz w:val="48"/>
    </w:rPr>
  </w:style>
  <w:style w:type="paragraph" w:styleId="BodyText">
    <w:name w:val="Body Text"/>
    <w:basedOn w:val="Normal"/>
    <w:pPr/>
    <w:rPr>
      <w:color w:val="3366FF"/>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otnoteText">
    <w:name w:val="footnote text"/>
    <w:basedOn w:val="Normal"/>
    <w:pPr/>
    <w:rPr>
      <w:sz w:val="20"/>
      <w:szCs w:val="20"/>
    </w:rPr>
  </w:style>
  <w:style w:type="paragraph" w:styleId="BalloonText">
    <w:name w:val="Balloon Text"/>
    <w:basedOn w:val="Normal"/>
    <w:qFormat/>
    <w:pPr/>
    <w:rPr>
      <w:rFonts w:ascii="Tahoma" w:hAnsi="Tahoma" w:cs="Wingdings"/>
      <w:sz w:val="16"/>
      <w:szCs w:val="16"/>
    </w:rPr>
  </w:style>
  <w:style w:type="paragraph" w:styleId="BodyText3">
    <w:name w:val="Body Text 3"/>
    <w:basedOn w:val="Normal"/>
    <w:qFormat/>
    <w:pPr>
      <w:jc w:val="center"/>
    </w:pPr>
    <w:rPr>
      <w:rFonts w:ascii="Frutiger 45 Light" w:hAnsi="Frutiger 45 Light" w:cs="Frutiger 45 Light"/>
      <w:b/>
      <w:bCs/>
      <w:sz w:val="32"/>
    </w:rPr>
  </w:style>
  <w:style w:type="paragraph" w:styleId="BodyText2">
    <w:name w:val="Body Text 2"/>
    <w:basedOn w:val="Normal"/>
    <w:qFormat/>
    <w:pPr/>
    <w:rPr>
      <w:color w:val="339966"/>
    </w:rPr>
  </w:style>
  <w:style w:type="paragraph" w:styleId="TOC1">
    <w:name w:val="toc 1"/>
    <w:basedOn w:val="Normal"/>
    <w:next w:val="Normal"/>
    <w:pPr/>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HeaderLeft">
    <w:name w:val="Header Left"/>
    <w:basedOn w:val="Header"/>
    <w:qFormat/>
    <w:pPr>
      <w:suppressLineNumbers/>
      <w:tabs>
        <w:tab w:val="clear" w:pos="4320"/>
        <w:tab w:val="clear" w:pos="8640"/>
        <w:tab w:val="center" w:pos="4680" w:leader="none"/>
        <w:tab w:val="right" w:pos="9360" w:leader="none"/>
      </w:tabs>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 w:type="numbering" w:styleId="WW8Num17">
    <w:name w:val="WW8Num17"/>
    <w:qFormat/>
  </w:style>
  <w:style w:type="numbering" w:styleId="WW8Num18">
    <w:name w:val="WW8Num18"/>
    <w:qFormat/>
  </w:style>
  <w:style w:type="numbering" w:styleId="WW8Num19">
    <w:name w:val="WW8Num19"/>
    <w:qFormat/>
  </w:style>
  <w:style w:type="numbering" w:styleId="WW8Num20">
    <w:name w:val="WW8Num20"/>
    <w:qFormat/>
  </w:style>
  <w:style w:type="numbering" w:styleId="WW8Num21">
    <w:name w:val="WW8Num21"/>
    <w:qFormat/>
  </w:style>
  <w:style w:type="numbering" w:styleId="WW8Num22">
    <w:name w:val="WW8Num2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2001-08-28T11:31:00Z</dcterms:created>
  <dc:creator>DHankinson</dc:creator>
  <dc:description/>
  <dc:language>en-CA</dc:language>
  <cp:lastModifiedBy>DHankinson</cp:lastModifiedBy>
  <cp:lastPrinted>2001-08-29T21:46:00Z</cp:lastPrinted>
  <dcterms:modified xsi:type="dcterms:W3CDTF">2001-08-29T23:43:00Z</dcterms:modified>
  <cp:revision>44</cp:revision>
  <dc:subject/>
  <dc:title>I</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r8>-1130770938</vt:r8>
  </property>
  <property fmtid="{D5CDD505-2E9C-101B-9397-08002B2CF9AE}" pid="3" name="_AuthorEmail">
    <vt:lpwstr>KBowman@Intellibridge.com</vt:lpwstr>
  </property>
  <property fmtid="{D5CDD505-2E9C-101B-9397-08002B2CF9AE}" pid="4" name="_AuthorEmailDisplayName">
    <vt:lpwstr>Kirsten Bowman</vt:lpwstr>
  </property>
  <property fmtid="{D5CDD505-2E9C-101B-9397-08002B2CF9AE}" pid="5" name="_EmailSubject">
    <vt:lpwstr>here's what I did....</vt:lpwstr>
  </property>
  <property fmtid="{D5CDD505-2E9C-101B-9397-08002B2CF9AE}" pid="6" name="_PreviousAdHocReviewCycleID">
    <vt:r8>2022729913</vt:r8>
  </property>
</Properties>
</file>