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WESTERN ENERGY MARKET</w:t>
      </w:r>
    </w:p>
    <w:p>
      <w:pPr>
        <w:pStyle w:val="Normal"/>
        <w:jc w:val="center"/>
        <w:rPr>
          <w:b/>
          <w:bCs/>
        </w:rPr>
      </w:pPr>
      <w:r>
        <w:rPr>
          <w:b/>
          <w:bCs/>
        </w:rPr>
      </w:r>
    </w:p>
    <w:p>
      <w:pPr>
        <w:pStyle w:val="Normal"/>
        <w:rPr>
          <w:b/>
          <w:bCs/>
        </w:rPr>
      </w:pPr>
      <w:r>
        <w:rPr>
          <w:b/>
          <w:bCs/>
        </w:rPr>
      </w:r>
    </w:p>
    <w:p>
      <w:pPr>
        <w:pStyle w:val="Normal"/>
        <w:numPr>
          <w:ilvl w:val="0"/>
          <w:numId w:val="1"/>
        </w:numPr>
        <w:rPr>
          <w:b/>
          <w:bCs/>
        </w:rPr>
      </w:pPr>
      <w:r>
        <w:rPr>
          <w:b/>
          <w:bCs/>
          <w:u w:val="single"/>
        </w:rPr>
        <w:t>Geographic Scale</w:t>
      </w:r>
      <w:r>
        <w:rPr>
          <w:b/>
          <w:bCs/>
        </w:rPr>
        <w:t xml:space="preserve">.  </w:t>
      </w:r>
    </w:p>
    <w:p>
      <w:pPr>
        <w:pStyle w:val="BodyTextIndent2"/>
        <w:ind w:hanging="0" w:start="720" w:end="0"/>
        <w:rPr>
          <w:b w:val="false"/>
          <w:bCs w:val="false"/>
        </w:rPr>
      </w:pPr>
      <w:r>
        <w:rPr>
          <w:b w:val="false"/>
          <w:bCs w:val="false"/>
        </w:rPr>
        <w:t>The Western Interconnection is a single market covering Arizona, California, Idaho, Montana, Nevada, New Mexico, Oregon, Utah, Washington, Wyoming, Alberta and British Columbia plus parts of Nebraska, South Dakota, Texas and Baja California.</w:t>
      </w:r>
    </w:p>
    <w:p>
      <w:pPr>
        <w:pStyle w:val="BodyTextIndent2"/>
        <w:ind w:hanging="1080" w:start="1800" w:end="0"/>
        <w:rPr>
          <w:b w:val="false"/>
          <w:bCs w:val="false"/>
          <w:sz w:val="8"/>
        </w:rPr>
      </w:pPr>
      <w:r>
        <w:rPr>
          <w:b w:val="false"/>
          <w:bCs w:val="false"/>
          <w:sz w:val="8"/>
        </w:rPr>
      </w:r>
    </w:p>
    <w:p>
      <w:pPr>
        <w:pStyle w:val="BodyTextIndent2"/>
        <w:numPr>
          <w:ilvl w:val="0"/>
          <w:numId w:val="2"/>
        </w:numPr>
        <w:rPr>
          <w:b w:val="false"/>
          <w:bCs w:val="false"/>
        </w:rPr>
      </w:pPr>
      <w:r>
        <w:rPr>
          <w:rFonts w:cs="Times New Roman" w:ascii="Times New Roman" w:hAnsi="Times New Roman"/>
          <w:b w:val="false"/>
          <w:bCs w:val="false"/>
        </w:rPr>
        <w:t>All generators within the interconnection operate at the same synchronous frequency.  The actions of every generator effect all others in proportion to the electrical distance between the generators.</w:t>
      </w:r>
    </w:p>
    <w:p>
      <w:pPr>
        <w:pStyle w:val="BodyTextIndent2"/>
        <w:numPr>
          <w:ilvl w:val="0"/>
          <w:numId w:val="2"/>
        </w:numPr>
        <w:rPr>
          <w:b w:val="false"/>
          <w:bCs w:val="false"/>
        </w:rPr>
      </w:pPr>
      <w:r>
        <w:rPr>
          <w:rFonts w:cs="Times New Roman" w:ascii="Times New Roman" w:hAnsi="Times New Roman"/>
          <w:b w:val="false"/>
          <w:bCs w:val="false"/>
        </w:rPr>
        <w:t>Transactions between all parts of the interconnection have been common since the first Pacific Intertie was completed in the late 1960s.</w:t>
      </w:r>
    </w:p>
    <w:p>
      <w:pPr>
        <w:pStyle w:val="BodyTextIndent2"/>
        <w:numPr>
          <w:ilvl w:val="0"/>
          <w:numId w:val="2"/>
        </w:numPr>
        <w:rPr>
          <w:b w:val="false"/>
          <w:bCs w:val="false"/>
        </w:rPr>
      </w:pPr>
      <w:r>
        <w:rPr>
          <w:rFonts w:cs="Times New Roman" w:ascii="Times New Roman" w:hAnsi="Times New Roman"/>
          <w:b w:val="false"/>
          <w:bCs w:val="false"/>
        </w:rPr>
        <w:t>Recent region-wide price effects due to shortage in California demonstrate the West’s high degree of economic interdependence.  The oil embargos of the 1970s and the generation surpluses of the late 1980s produced similar region-wide price effects.</w:t>
      </w:r>
    </w:p>
    <w:p>
      <w:pPr>
        <w:pStyle w:val="BodyTextIndent2"/>
        <w:rPr>
          <w:b w:val="false"/>
          <w:bCs w:val="false"/>
        </w:rPr>
      </w:pPr>
      <w:r>
        <w:rPr>
          <w:b w:val="false"/>
          <w:bCs w:val="false"/>
        </w:rPr>
      </w:r>
    </w:p>
    <w:p>
      <w:pPr>
        <w:pStyle w:val="Normal"/>
        <w:numPr>
          <w:ilvl w:val="0"/>
          <w:numId w:val="1"/>
        </w:numPr>
        <w:rPr>
          <w:b/>
          <w:bCs/>
        </w:rPr>
      </w:pPr>
      <w:r>
        <w:rPr>
          <w:b/>
          <w:bCs/>
          <w:u w:val="single"/>
        </w:rPr>
        <w:t>Market Function</w:t>
      </w:r>
      <w:r>
        <w:rPr>
          <w:b/>
          <w:bCs/>
        </w:rPr>
        <w:t>.</w:t>
      </w:r>
    </w:p>
    <w:p>
      <w:pPr>
        <w:pStyle w:val="BodyTextIndent2"/>
        <w:ind w:hanging="0" w:start="720" w:end="0"/>
        <w:rPr>
          <w:b w:val="false"/>
          <w:bCs w:val="false"/>
        </w:rPr>
      </w:pPr>
      <w:r>
        <w:rPr>
          <w:b w:val="false"/>
          <w:bCs w:val="false"/>
        </w:rPr>
        <w:t>Bilateral trade between parties has been and continues to be the dominant mode of trade in the Western market.</w:t>
      </w:r>
    </w:p>
    <w:p>
      <w:pPr>
        <w:pStyle w:val="BodyTextIndent2"/>
        <w:ind w:hanging="1080" w:start="1800" w:end="0"/>
        <w:rPr>
          <w:b w:val="false"/>
          <w:bCs w:val="false"/>
          <w:sz w:val="8"/>
        </w:rPr>
      </w:pPr>
      <w:r>
        <w:rPr>
          <w:b w:val="false"/>
          <w:bCs w:val="false"/>
          <w:sz w:val="8"/>
        </w:rPr>
      </w:r>
    </w:p>
    <w:p>
      <w:pPr>
        <w:pStyle w:val="BodyTextIndent2"/>
        <w:numPr>
          <w:ilvl w:val="0"/>
          <w:numId w:val="2"/>
        </w:numPr>
        <w:rPr>
          <w:b w:val="false"/>
          <w:bCs w:val="false"/>
        </w:rPr>
      </w:pPr>
      <w:r>
        <w:rPr>
          <w:rFonts w:cs="Times New Roman" w:ascii="Times New Roman" w:hAnsi="Times New Roman"/>
          <w:b w:val="false"/>
          <w:bCs w:val="false"/>
        </w:rPr>
        <w:t xml:space="preserve">Traditional transactions included long-term power purchase and sales, daily and seasonal energy exchanges, trade of short-term surpluses. </w:t>
      </w:r>
    </w:p>
    <w:p>
      <w:pPr>
        <w:pStyle w:val="BodyTextIndent2"/>
        <w:numPr>
          <w:ilvl w:val="0"/>
          <w:numId w:val="2"/>
        </w:numPr>
        <w:rPr>
          <w:b w:val="false"/>
          <w:bCs w:val="false"/>
        </w:rPr>
      </w:pPr>
      <w:r>
        <w:rPr>
          <w:rFonts w:cs="Times New Roman" w:ascii="Times New Roman" w:hAnsi="Times New Roman"/>
          <w:b w:val="false"/>
          <w:bCs w:val="false"/>
        </w:rPr>
        <w:t>Prior to open access, trade in electric power was exclusively between vertically integrated utilities.</w:t>
      </w:r>
    </w:p>
    <w:p>
      <w:pPr>
        <w:pStyle w:val="BodyTextIndent2"/>
        <w:numPr>
          <w:ilvl w:val="0"/>
          <w:numId w:val="2"/>
        </w:numPr>
        <w:rPr>
          <w:b w:val="false"/>
          <w:bCs w:val="false"/>
        </w:rPr>
      </w:pPr>
      <w:r>
        <w:rPr>
          <w:rFonts w:cs="Times New Roman" w:ascii="Times New Roman" w:hAnsi="Times New Roman"/>
          <w:b w:val="false"/>
          <w:bCs w:val="false"/>
        </w:rPr>
        <w:t>With the coming of open access marketers added liquidity to the market by matching buyers and sellers and by offering risk hedging product in the forward market.</w:t>
      </w:r>
    </w:p>
    <w:p>
      <w:pPr>
        <w:pStyle w:val="BodyTextIndent2"/>
        <w:numPr>
          <w:ilvl w:val="0"/>
          <w:numId w:val="2"/>
        </w:numPr>
        <w:rPr>
          <w:b w:val="false"/>
          <w:bCs w:val="false"/>
        </w:rPr>
      </w:pPr>
      <w:r>
        <w:rPr>
          <w:rFonts w:cs="Times New Roman" w:ascii="Times New Roman" w:hAnsi="Times New Roman"/>
          <w:b w:val="false"/>
          <w:bCs w:val="false"/>
        </w:rPr>
        <w:t>The California PX and ISO initiated spot pool markets (or auctions).  The investor owned utilities in California were required to buy most of their energy from PX spot pool, and restrictions were imposed on their entering into forward contracts.  The PX collapsed when regional surpluses dried up.</w:t>
      </w:r>
    </w:p>
    <w:p>
      <w:pPr>
        <w:pStyle w:val="Normal"/>
        <w:ind w:start="720" w:end="0"/>
        <w:rPr>
          <w:b/>
          <w:bCs/>
          <w:i/>
          <w:i/>
          <w:iCs/>
        </w:rPr>
      </w:pPr>
      <w:r>
        <w:rPr>
          <w:b/>
          <w:bCs/>
          <w:i/>
          <w:iCs/>
        </w:rPr>
      </w:r>
    </w:p>
    <w:p>
      <w:pPr>
        <w:pStyle w:val="Normal"/>
        <w:numPr>
          <w:ilvl w:val="0"/>
          <w:numId w:val="1"/>
        </w:numPr>
        <w:rPr>
          <w:b/>
          <w:bCs/>
        </w:rPr>
      </w:pPr>
      <w:r>
        <w:rPr>
          <w:b/>
          <w:bCs/>
          <w:u w:val="single"/>
        </w:rPr>
        <w:t>Transmission Access</w:t>
      </w:r>
      <w:r>
        <w:rPr>
          <w:b/>
          <w:bCs/>
        </w:rPr>
        <w:t>.</w:t>
      </w:r>
    </w:p>
    <w:p>
      <w:pPr>
        <w:pStyle w:val="BodyTextIndent2"/>
        <w:ind w:hanging="0" w:start="720" w:end="0"/>
        <w:rPr>
          <w:b w:val="false"/>
          <w:bCs w:val="false"/>
        </w:rPr>
      </w:pPr>
      <w:r>
        <w:rPr>
          <w:b w:val="false"/>
          <w:bCs w:val="false"/>
        </w:rPr>
        <w:t xml:space="preserve">Parties doing business across the Western Interconnection must deal with multiple owners and pay pancaked charges for each system crossed. </w:t>
      </w:r>
    </w:p>
    <w:p>
      <w:pPr>
        <w:pStyle w:val="BodyTextIndent2"/>
        <w:ind w:hanging="1080" w:start="1800" w:end="0"/>
        <w:rPr>
          <w:b w:val="false"/>
          <w:bCs w:val="false"/>
          <w:sz w:val="8"/>
        </w:rPr>
      </w:pPr>
      <w:r>
        <w:rPr>
          <w:b w:val="false"/>
          <w:bCs w:val="false"/>
          <w:sz w:val="8"/>
        </w:rPr>
      </w:r>
    </w:p>
    <w:p>
      <w:pPr>
        <w:pStyle w:val="BodyTextIndent2"/>
        <w:numPr>
          <w:ilvl w:val="0"/>
          <w:numId w:val="2"/>
        </w:numPr>
        <w:rPr>
          <w:b w:val="false"/>
          <w:bCs w:val="false"/>
        </w:rPr>
      </w:pPr>
      <w:r>
        <w:rPr>
          <w:rFonts w:cs="Times New Roman" w:ascii="Times New Roman" w:hAnsi="Times New Roman"/>
          <w:b w:val="false"/>
          <w:bCs w:val="false"/>
        </w:rPr>
        <w:t>The West has 31 separate control areas, each with its own transmission tariff.</w:t>
      </w:r>
    </w:p>
    <w:p>
      <w:pPr>
        <w:pStyle w:val="BodyTextIndent2"/>
        <w:numPr>
          <w:ilvl w:val="0"/>
          <w:numId w:val="2"/>
        </w:numPr>
        <w:rPr>
          <w:b w:val="false"/>
          <w:bCs w:val="false"/>
        </w:rPr>
      </w:pPr>
      <w:r>
        <w:rPr>
          <w:rFonts w:cs="Times New Roman" w:ascii="Times New Roman" w:hAnsi="Times New Roman"/>
          <w:b w:val="false"/>
          <w:bCs w:val="false"/>
        </w:rPr>
        <w:t>For every system a transaction crosses, a separate contract must exist between the customer and that control area utility prior to scheduling.  Each transaction must be separately scheduled with each control area and a separate transmission fee paid under each tariff, i.e., the charges for the fixed costs of each system are pancaked on top of each other.</w:t>
      </w:r>
    </w:p>
    <w:p>
      <w:pPr>
        <w:pStyle w:val="BodyTextIndent2"/>
        <w:numPr>
          <w:ilvl w:val="0"/>
          <w:numId w:val="2"/>
        </w:numPr>
        <w:rPr>
          <w:rFonts w:ascii="Times New Roman" w:hAnsi="Times New Roman" w:cs="Times New Roman"/>
          <w:b w:val="false"/>
          <w:bCs w:val="false"/>
        </w:rPr>
      </w:pPr>
      <w:r>
        <w:rPr>
          <w:rFonts w:cs="Times New Roman" w:ascii="Times New Roman" w:hAnsi="Times New Roman"/>
          <w:b w:val="false"/>
          <w:bCs w:val="false"/>
        </w:rPr>
        <w:t xml:space="preserve">Under FERC Order No. 888 vertically integrated transmission owners retain significant advantages, which biases the competitive market against new entrants.  </w:t>
      </w:r>
    </w:p>
    <w:sectPr>
      <w:footerReference w:type="default" r:id="rId2"/>
      <w:type w:val="nextPage"/>
      <w:pgSz w:w="12240" w:h="15840"/>
      <w:pgMar w:left="153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sz w:val="18"/>
      </w:rPr>
    </w:pPr>
    <w:r>
      <w:rPr>
        <w:sz w:val="18"/>
      </w:rPr>
      <w:t>S.Walton</w:t>
      <w:tab/>
      <w:tab/>
      <w:t>31Aug2001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1260" w:start="1980" w:end="0"/>
    </w:pPr>
    <w:rPr>
      <w:b/>
      <w:bCs/>
      <w:i/>
      <w:i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2001-08-31T18:39:00Z</dcterms:created>
  <dc:creator>swalto2</dc:creator>
  <dc:description/>
  <dc:language>en-CA</dc:language>
  <cp:lastModifiedBy>swalto2</cp:lastModifiedBy>
  <cp:lastPrinted>2001-08-31T16:49:00Z</cp:lastPrinted>
  <dcterms:modified xsi:type="dcterms:W3CDTF">2001-08-31T19:30:00Z</dcterms:modified>
  <cp:revision>5</cp:revision>
  <dc:subject/>
  <dc:title>Key Components </dc:title>
</cp:coreProperties>
</file>