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sz w:val="22"/>
        </w:rPr>
      </w:pPr>
      <w:r>
        <w:rPr>
          <w:sz w:val="22"/>
        </w:rPr>
        <w:t>November ___, 2000</w:t>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Normal"/>
        <w:rPr>
          <w:sz w:val="22"/>
        </w:rPr>
      </w:pPr>
      <w:r>
        <w:rPr>
          <w:sz w:val="22"/>
        </w:rPr>
        <w:t>Western Area Power Administration</w:t>
      </w:r>
    </w:p>
    <w:p>
      <w:pPr>
        <w:pStyle w:val="Normal"/>
        <w:rPr>
          <w:sz w:val="22"/>
        </w:rPr>
      </w:pPr>
      <w:r>
        <w:rPr>
          <w:sz w:val="22"/>
        </w:rPr>
        <w:t>P.O. Box 35800</w:t>
      </w:r>
    </w:p>
    <w:p>
      <w:pPr>
        <w:pStyle w:val="Normal"/>
        <w:rPr/>
      </w:pPr>
      <w:r>
        <w:rPr>
          <w:sz w:val="22"/>
        </w:rPr>
        <w:t>2900 4</w:t>
      </w:r>
      <w:r>
        <w:rPr>
          <w:sz w:val="22"/>
          <w:vertAlign w:val="superscript"/>
        </w:rPr>
        <w:t>th</w:t>
      </w:r>
      <w:r>
        <w:rPr>
          <w:sz w:val="22"/>
        </w:rPr>
        <w:t xml:space="preserve"> Avenue North</w:t>
      </w:r>
    </w:p>
    <w:p>
      <w:pPr>
        <w:pStyle w:val="Normal"/>
        <w:rPr>
          <w:sz w:val="22"/>
        </w:rPr>
      </w:pPr>
      <w:r>
        <w:rPr>
          <w:sz w:val="22"/>
        </w:rPr>
        <w:t>Billings, MT 59107-5800</w:t>
      </w:r>
    </w:p>
    <w:p>
      <w:pPr>
        <w:pStyle w:val="Normal"/>
        <w:rPr>
          <w:sz w:val="22"/>
        </w:rPr>
      </w:pPr>
      <w:r>
        <w:rPr>
          <w:sz w:val="22"/>
        </w:rPr>
      </w:r>
    </w:p>
    <w:p>
      <w:pPr>
        <w:pStyle w:val="Normal"/>
        <w:rPr>
          <w:sz w:val="22"/>
        </w:rPr>
      </w:pPr>
      <w:r>
        <w:rPr>
          <w:sz w:val="22"/>
        </w:rPr>
      </w:r>
    </w:p>
    <w:p>
      <w:pPr>
        <w:pStyle w:val="Normal"/>
        <w:rPr>
          <w:sz w:val="22"/>
        </w:rPr>
      </w:pPr>
      <w:r>
        <w:rPr>
          <w:sz w:val="22"/>
        </w:rPr>
        <w:t>Attention: Kathleen Portra</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Kathleen:</w:t>
      </w:r>
    </w:p>
    <w:p>
      <w:pPr>
        <w:pStyle w:val="Normal"/>
        <w:rPr>
          <w:sz w:val="22"/>
        </w:rPr>
      </w:pPr>
      <w:r>
        <w:rPr>
          <w:sz w:val="22"/>
        </w:rPr>
      </w:r>
    </w:p>
    <w:p>
      <w:pPr>
        <w:pStyle w:val="Normal"/>
        <w:jc w:val="both"/>
        <w:rPr>
          <w:sz w:val="22"/>
        </w:rPr>
      </w:pPr>
      <w:r>
        <w:rPr>
          <w:sz w:val="22"/>
        </w:rPr>
        <w:t>This letter will serve as our agreement to the following amendments to the Electronic Trading Agreement (the “ETA”) which must be accepted by Western Area Power Administration on the EnronOnline web site before using the site for trading:</w:t>
      </w:r>
    </w:p>
    <w:p>
      <w:pPr>
        <w:pStyle w:val="Normal"/>
        <w:jc w:val="both"/>
        <w:rPr>
          <w:sz w:val="22"/>
        </w:rPr>
      </w:pPr>
      <w:r>
        <w:rPr>
          <w:sz w:val="22"/>
        </w:rPr>
      </w:r>
    </w:p>
    <w:p>
      <w:pPr>
        <w:pStyle w:val="BodyText2"/>
        <w:rPr>
          <w:sz w:val="22"/>
        </w:rPr>
      </w:pPr>
      <w:r>
        <w:rPr>
          <w:sz w:val="22"/>
        </w:rPr>
        <w:t>1.</w:t>
        <w:tab/>
        <w:t>Section 4(b) of the ETA is hereby amended by adding the following at the beginning thereof:  “To the extent allowed by law,”</w:t>
      </w:r>
    </w:p>
    <w:p>
      <w:pPr>
        <w:pStyle w:val="Normal"/>
        <w:spacing w:lineRule="exact" w:line="240"/>
        <w:ind w:firstLine="720" w:end="0"/>
        <w:jc w:val="both"/>
        <w:rPr>
          <w:sz w:val="22"/>
        </w:rPr>
      </w:pPr>
      <w:r>
        <w:rPr>
          <w:sz w:val="22"/>
        </w:rPr>
      </w:r>
    </w:p>
    <w:p>
      <w:pPr>
        <w:pStyle w:val="BodyText3"/>
        <w:rPr/>
      </w:pPr>
      <w:r>
        <w:rPr/>
        <w:t>2.</w:t>
        <w:tab/>
        <w:t xml:space="preserve">Section 6(f) of the ETA is hereby amended to read in its entirety as follows:  “This Agreement shall be governed by and construed in accordance with the laws of the State of New York, except to the extent that the parties’ rights and obligations are required to be governed by Federal law, in which case such rights and obligations shall be governed by Federal law.  If the United States Secretary of Energy publishes regulations that permit agencies within the Department of Energy to participate in binding arbitration, any contract dispute or contract issue between the parties arising under this Agreement shall be subject to binding arbitration.  The parties shall make a good faith effort to resolve such disputes before initiating arbitration proceedings.  </w:t>
      </w:r>
    </w:p>
    <w:p>
      <w:pPr>
        <w:pStyle w:val="BodyText3"/>
        <w:rPr/>
      </w:pPr>
      <w:r>
        <w:rPr/>
      </w:r>
    </w:p>
    <w:p>
      <w:pPr>
        <w:pStyle w:val="BodyTextIndent2"/>
        <w:ind w:start="0" w:end="0"/>
        <w:rPr/>
      </w:pPr>
      <w:r>
        <w:rPr/>
        <w:t>Any binding arbitration entered into pursuant to this agreement shall be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BodyTextIndent2"/>
        <w:ind w:start="0" w:end="0"/>
        <w:rPr/>
      </w:pPr>
      <w:r>
        <w:rPr/>
      </w:r>
    </w:p>
    <w:p>
      <w:pPr>
        <w:pStyle w:val="BodyTextIndent2"/>
        <w:numPr>
          <w:ilvl w:val="0"/>
          <w:numId w:val="2"/>
        </w:numPr>
        <w:tabs>
          <w:tab w:val="clear" w:pos="720"/>
          <w:tab w:val="left" w:pos="0" w:leader="none"/>
        </w:tabs>
        <w:ind w:hanging="0" w:start="0" w:end="0"/>
        <w:rPr/>
      </w:pPr>
      <w:r>
        <w:rPr/>
        <w:t>The Parties agree to add the following provisions to the ETA:</w:t>
      </w:r>
    </w:p>
    <w:p>
      <w:pPr>
        <w:pStyle w:val="BodyTextIndent2"/>
        <w:rPr/>
      </w:pPr>
      <w:r>
        <w:rPr/>
      </w:r>
    </w:p>
    <w:p>
      <w:pPr>
        <w:pStyle w:val="BodyTextIndent2"/>
        <w:numPr>
          <w:ilvl w:val="1"/>
          <w:numId w:val="2"/>
        </w:numPr>
        <w:rPr>
          <w:color w:val="000000"/>
        </w:rPr>
      </w:pPr>
      <w:r>
        <w:rPr>
          <w:b/>
        </w:rPr>
        <w:t>Contingent Upon Appropriations</w:t>
      </w:r>
      <w:r>
        <w:rPr>
          <w:bCs/>
        </w:rPr>
        <w:t>.</w:t>
      </w:r>
      <w:r>
        <w:rPr>
          <w:b/>
        </w:rPr>
        <w:t xml:space="preserve"> </w:t>
      </w:r>
      <w:r>
        <w:rPr/>
        <w:t>Where transactions entered into pursuant to this ETA and applicable master agreement or GTCs extend beyond the current fiscal year, continued expenditures by the United States are contingent upon Congress making the necessary appropriations required for the continued performance of the United States obligations under such agreements.  In case such appropriation is not made, Enron hereby releases the United States from its contractual obligations and from all liability due to the failure of Congress to make such appropriation; provided, however, Counterparty</w:t>
      </w:r>
      <w:r>
        <w:rPr>
          <w:color w:val="000000"/>
        </w:rPr>
        <w:t xml:space="preserve"> agrees to make a good faith effort to obtain adequate appropriations to fulfill its obligations under this ETA and the applicable master agreement or GTCs. Counterparty further acknowledges and agrees that it will not enter into any transaction on the web site that is scheduled to flow beyond the current fiscal year.</w:t>
      </w:r>
    </w:p>
    <w:p>
      <w:pPr>
        <w:pStyle w:val="BodyTextIndent2"/>
        <w:ind w:start="1080" w:end="0"/>
        <w:rPr>
          <w:color w:val="000000"/>
        </w:rPr>
      </w:pPr>
      <w:r>
        <w:rPr>
          <w:color w:val="000000"/>
        </w:rPr>
      </w:r>
    </w:p>
    <w:p>
      <w:pPr>
        <w:pStyle w:val="BodyTextIndent2"/>
        <w:numPr>
          <w:ilvl w:val="1"/>
          <w:numId w:val="2"/>
        </w:numPr>
        <w:rPr/>
      </w:pPr>
      <w:r>
        <w:rPr>
          <w:b/>
        </w:rPr>
        <w:t xml:space="preserve">Covenant Against Contingent Fees.  </w:t>
      </w:r>
      <w:r>
        <w:rPr>
          <w:bCs/>
        </w:rPr>
        <w:t>Enron</w:t>
      </w:r>
      <w:r>
        <w:rPr/>
        <w:t xml:space="preserve"> warrants that no person or selling agency has been employed or retained to solicit or secure this ETA upon an agreement or understanding for a commission, percentage, brokerage, or contingent fee, excepting bona fide employees or bona fide established commercial or selling agencies maintained by Enron for the purpose of securing business.  For breach or violation of this warranty, Counterparty shall have the right to annul the ETA without liability or in its discretion to deduct from the ETA price or consideration the full amount of such commission, percentage, brokerage, or contingent fee.</w:t>
      </w:r>
    </w:p>
    <w:p>
      <w:pPr>
        <w:pStyle w:val="BodyTextIndent2"/>
        <w:ind w:start="0" w:end="0"/>
        <w:rPr/>
      </w:pPr>
      <w:r>
        <w:rPr/>
      </w:r>
    </w:p>
    <w:p>
      <w:pPr>
        <w:pStyle w:val="BodyTextIndent2"/>
        <w:numPr>
          <w:ilvl w:val="1"/>
          <w:numId w:val="2"/>
        </w:numPr>
        <w:rPr/>
      </w:pPr>
      <w:r>
        <w:rPr>
          <w:b/>
        </w:rPr>
        <w:t xml:space="preserve">Contract Work Hours and Safety Standards.  </w:t>
      </w:r>
      <w:r>
        <w:rPr/>
        <w:t>The ETA, to the extent that it is of a character specified in Section 103 of the Contract Work Hours and Safety Standards Act (Act), 40 U.S.C. § 329 (1986, Supp. 1998), is subject to the provisions of the Act, 40 U.S.C.  § § 327-333 (1986), and to regulations promulgated by the Secretary of Labor pursuant to the Act.</w:t>
      </w:r>
    </w:p>
    <w:p>
      <w:pPr>
        <w:pStyle w:val="BodyTextIndent2"/>
        <w:ind w:start="0" w:end="0"/>
        <w:rPr/>
      </w:pPr>
      <w:r>
        <w:rPr/>
      </w:r>
    </w:p>
    <w:p>
      <w:pPr>
        <w:pStyle w:val="BodyTextIndent2"/>
        <w:numPr>
          <w:ilvl w:val="1"/>
          <w:numId w:val="2"/>
        </w:numPr>
        <w:rPr/>
      </w:pPr>
      <w:r>
        <w:rPr>
          <w:b/>
        </w:rPr>
        <w:t xml:space="preserve">Equal Opportunity Employment Practices -- </w:t>
      </w:r>
      <w:r>
        <w:rPr/>
        <w:t>Section 202 of Executive Order No. 11246, 30 Fed. Reg. 12319 (1965), as amended by Executive Order No. 12086,  43 Fed. Reg. 46501 (1978), which provides, among other things, that Enron will not discriminate against any employee or applicant for employment because of race, color, religion, sex, or national origin, is incorporated by reference in the ETA.</w:t>
      </w:r>
    </w:p>
    <w:p>
      <w:pPr>
        <w:pStyle w:val="BodyTextIndent2"/>
        <w:ind w:start="0" w:end="0"/>
        <w:rPr/>
      </w:pPr>
      <w:r>
        <w:rPr/>
      </w:r>
    </w:p>
    <w:p>
      <w:pPr>
        <w:pStyle w:val="BodyTextIndent2"/>
        <w:numPr>
          <w:ilvl w:val="1"/>
          <w:numId w:val="2"/>
        </w:numPr>
        <w:rPr/>
      </w:pPr>
      <w:r>
        <w:rPr>
          <w:b/>
        </w:rPr>
        <w:t xml:space="preserve">Use of Convict Labor. </w:t>
      </w:r>
      <w:r>
        <w:rPr>
          <w:bCs/>
        </w:rPr>
        <w:t>Enron</w:t>
      </w:r>
      <w:r>
        <w:rPr/>
        <w:t xml:space="preserve"> agrees not to employ any person undergoing sentence of imprisonment in performing its obligations under the ETA except as provided by 18 U.S.C.  4082 (c)(2) (1986, Supp. 1998) and Executive Order 11755, 39 Fed. Reg. 779 (1973), as amended.</w:t>
      </w:r>
    </w:p>
    <w:p>
      <w:pPr>
        <w:pStyle w:val="BodyTextIndent2"/>
        <w:ind w:start="0" w:end="0"/>
        <w:rPr/>
      </w:pPr>
      <w:r>
        <w:rPr/>
      </w:r>
    </w:p>
    <w:p>
      <w:pPr>
        <w:pStyle w:val="BodyText3"/>
        <w:rPr/>
      </w:pPr>
      <w:r>
        <w:rPr/>
      </w:r>
      <w:r>
        <w:br w:type="page"/>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EnronOnline,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Western Area Power Administration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/mnt/main-storage/datasets/enron-docs/doc/Western_Area_Power_Admin_ETA.doc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color w:val="000000"/>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2z1">
    <w:name w:val="WW8Num2z1"/>
    <w:qFormat/>
    <w:rPr>
      <w:color w:val="000000"/>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2000-08-24T15:43:00Z</dcterms:created>
  <dc:creator>mtaylo1</dc:creator>
  <dc:description/>
  <dc:language>en-CA</dc:language>
  <cp:lastModifiedBy>leslie hansen</cp:lastModifiedBy>
  <cp:lastPrinted>2000-11-20T14:34:00Z</cp:lastPrinted>
  <dcterms:modified xsi:type="dcterms:W3CDTF">2000-11-20T18:05:00Z</dcterms:modified>
  <cp:revision>7</cp:revision>
  <dc:subject/>
  <dc:title>J</dc:title>
</cp:coreProperties>
</file>