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i w:val="false"/>
          <w:i w:val="false"/>
          <w:iCs w:val="false"/>
          <w:color w:val="0000FF"/>
          <w:sz w:val="32"/>
          <w:szCs w:val="22"/>
        </w:rPr>
      </w:pPr>
      <w:r>
        <w:rPr>
          <w:i w:val="false"/>
          <w:iCs w:val="false"/>
          <w:color w:val="0000FF"/>
          <w:sz w:val="32"/>
          <w:szCs w:val="22"/>
        </w:rPr>
        <w:t>WESTERN POWER UPDATE</w:t>
      </w:r>
    </w:p>
    <w:p>
      <w:pPr>
        <w:pStyle w:val="Normal"/>
        <w:jc w:val="center"/>
        <w:rPr>
          <w:b/>
          <w:bCs/>
          <w:color w:val="0000FF"/>
          <w:sz w:val="28"/>
        </w:rPr>
      </w:pPr>
      <w:r>
        <w:rPr>
          <w:b/>
          <w:bCs/>
          <w:color w:val="0000FF"/>
          <w:sz w:val="28"/>
        </w:rPr>
        <w:t>10/10/2001</w:t>
      </w:r>
    </w:p>
    <w:p>
      <w:pPr>
        <w:pStyle w:val="Heading2"/>
        <w:ind w:hanging="0" w:start="0"/>
        <w:rPr>
          <w:b/>
          <w:bCs/>
          <w:i w:val="false"/>
          <w:i w:val="false"/>
          <w:iCs w:val="false"/>
          <w:color w:val="0000FF"/>
          <w:sz w:val="28"/>
          <w:szCs w:val="22"/>
        </w:rPr>
      </w:pPr>
      <w:r>
        <w:rPr>
          <w:b/>
          <w:bCs/>
          <w:i w:val="false"/>
          <w:iCs w:val="false"/>
          <w:color w:val="0000FF"/>
          <w:sz w:val="28"/>
          <w:szCs w:val="22"/>
        </w:rPr>
      </w:r>
    </w:p>
    <w:p>
      <w:pPr>
        <w:pStyle w:val="Heading2"/>
        <w:ind w:hanging="0" w:start="0"/>
        <w:rPr/>
      </w:pPr>
      <w:r>
        <w:rPr>
          <w:color w:val="0000FF"/>
          <w:sz w:val="22"/>
          <w:szCs w:val="22"/>
        </w:rPr>
        <w:t>For questions or comments regarding this report please contact G. Britt Whitman at ex:5-4014 or Kristin Walsh at ex:3-9510</w:t>
      </w:r>
      <w:r>
        <w:rPr>
          <w:color w:val="0000FF"/>
          <w:szCs w:val="22"/>
        </w:rPr>
        <w:t>.</w:t>
      </w:r>
    </w:p>
    <w:p>
      <w:pPr>
        <w:pStyle w:val="Normal"/>
        <w:rPr>
          <w:color w:val="0000FF"/>
          <w:szCs w:val="22"/>
        </w:rPr>
      </w:pPr>
      <w:r>
        <w:rPr>
          <w:color w:val="0000FF"/>
          <w:szCs w:val="22"/>
        </w:rPr>
      </w:r>
    </w:p>
    <w:p>
      <w:pPr>
        <w:pStyle w:val="Normal"/>
        <w:rPr>
          <w:b/>
          <w:bCs/>
          <w:sz w:val="28"/>
        </w:rPr>
      </w:pPr>
      <w:r>
        <w:rPr>
          <w:b/>
          <w:bCs/>
          <w:sz w:val="28"/>
        </w:rPr>
        <w:t>EXECUTIVE SUMMARY:</w:t>
      </w:r>
    </w:p>
    <w:p>
      <w:pPr>
        <w:pStyle w:val="Normal"/>
        <w:numPr>
          <w:ilvl w:val="0"/>
          <w:numId w:val="2"/>
        </w:numPr>
        <w:rPr>
          <w:b/>
          <w:bCs/>
          <w:sz w:val="22"/>
        </w:rPr>
      </w:pPr>
      <w:r>
        <w:rPr>
          <w:b/>
          <w:bCs/>
          <w:sz w:val="22"/>
        </w:rPr>
        <w:t>FERC Chairman Sees No Need for Immediate West-wide RTO Progress</w:t>
      </w:r>
    </w:p>
    <w:p>
      <w:pPr>
        <w:pStyle w:val="Normal"/>
        <w:numPr>
          <w:ilvl w:val="0"/>
          <w:numId w:val="2"/>
        </w:numPr>
        <w:rPr>
          <w:b/>
          <w:bCs/>
          <w:sz w:val="22"/>
        </w:rPr>
      </w:pPr>
      <w:r>
        <w:rPr>
          <w:b/>
          <w:bCs/>
          <w:sz w:val="22"/>
        </w:rPr>
        <w:t>ALCOA &amp; Kaiser Idle Plants, Cut Jobs, and Await the Return of Aluminum Prices</w:t>
      </w:r>
    </w:p>
    <w:p>
      <w:pPr>
        <w:pStyle w:val="Normal"/>
        <w:numPr>
          <w:ilvl w:val="0"/>
          <w:numId w:val="2"/>
        </w:numPr>
        <w:rPr>
          <w:b/>
          <w:bCs/>
          <w:sz w:val="22"/>
        </w:rPr>
      </w:pPr>
      <w:r>
        <w:rPr>
          <w:b/>
          <w:bCs/>
          <w:sz w:val="22"/>
        </w:rPr>
        <w:t>BC Government Shakes Down BC Hydro, Utility Searching for New Joint Ventures</w:t>
      </w:r>
    </w:p>
    <w:p>
      <w:pPr>
        <w:pStyle w:val="Normal"/>
        <w:numPr>
          <w:ilvl w:val="0"/>
          <w:numId w:val="2"/>
        </w:numPr>
        <w:rPr>
          <w:b/>
          <w:bCs/>
          <w:sz w:val="22"/>
        </w:rPr>
      </w:pPr>
      <w:r>
        <w:rPr>
          <w:b/>
          <w:bCs/>
          <w:sz w:val="22"/>
        </w:rPr>
        <w:t>BPA Looks Toward Energy Conservation to Ease Future Supply Constraints</w:t>
      </w:r>
    </w:p>
    <w:p>
      <w:pPr>
        <w:pStyle w:val="Normal"/>
        <w:rPr>
          <w:b/>
          <w:bCs/>
          <w:sz w:val="22"/>
        </w:rPr>
      </w:pPr>
      <w:r>
        <w:rPr>
          <w:b/>
          <w:bCs/>
          <w:sz w:val="22"/>
        </w:rPr>
      </w:r>
    </w:p>
    <w:p>
      <w:pPr>
        <w:pStyle w:val="Heading3"/>
        <w:ind w:hanging="0" w:start="0"/>
        <w:rPr/>
      </w:pPr>
      <w:r>
        <w:rPr/>
        <w:t>FERC</w:t>
      </w:r>
    </w:p>
    <w:p>
      <w:pPr>
        <w:pStyle w:val="BodyText"/>
        <w:rPr/>
      </w:pPr>
      <w:r>
        <w:rPr/>
        <w:t>Last week, FERC chairman Pat Wood III suggested that utilities should enter into a single RTO West by 15 December.  In addition, the Texan still wants a West-wide RTO, but "it is not as imperative that a single western interconnection RTO be pursued at this time," he said in a memo. Nothing specific was decided at the FERC open meeting last week, although the week of 15 October has been declared "RTO Week" at FERC.</w:t>
      </w:r>
    </w:p>
    <w:p>
      <w:pPr>
        <w:pStyle w:val="Normal"/>
        <w:rPr>
          <w:b/>
          <w:bCs/>
          <w:i/>
          <w:i/>
          <w:iCs/>
          <w:sz w:val="10"/>
        </w:rPr>
      </w:pPr>
      <w:r>
        <w:rPr>
          <w:b/>
          <w:bCs/>
          <w:i/>
          <w:iCs/>
          <w:sz w:val="10"/>
        </w:rPr>
      </w:r>
    </w:p>
    <w:p>
      <w:pPr>
        <w:pStyle w:val="BodyText"/>
        <w:rPr/>
      </w:pPr>
      <w:r>
        <w:rPr/>
        <w:t>On Thursday six Southwestern utilities announced the formation of a for-profit RTO, which will be known as ‘WestConnect.’  The group will rival the existing Pacific Northwest RTO, of which Bonneville Power Administration is a member.  As we begin to see the Western states transmission structure begin to emerge, there are now three distinct large players:  RTO-West, WestConnect and Cal-ISO.</w:t>
      </w:r>
    </w:p>
    <w:p>
      <w:pPr>
        <w:pStyle w:val="Normal"/>
        <w:rPr>
          <w:b/>
          <w:bCs/>
          <w:i/>
          <w:i/>
          <w:iCs/>
        </w:rPr>
      </w:pPr>
      <w:r>
        <w:rPr>
          <w:b/>
          <w:bCs/>
          <w:i/>
          <w:iCs/>
        </w:rPr>
      </w:r>
    </w:p>
    <w:p>
      <w:pPr>
        <w:pStyle w:val="Normal"/>
        <w:rPr/>
      </w:pPr>
      <w:r>
        <w:rPr>
          <w:b/>
          <w:bCs/>
          <w:u w:val="single"/>
        </w:rPr>
        <w:t>Aluminum and Steel Smelters (DSI’s</w:t>
      </w:r>
      <w:r>
        <w:rPr>
          <w:b/>
          <w:bCs/>
          <w:i/>
          <w:iCs/>
        </w:rPr>
        <w:t>)</w:t>
      </w:r>
    </w:p>
    <w:p>
      <w:pPr>
        <w:pStyle w:val="Heading2"/>
        <w:ind w:hanging="0" w:start="0"/>
        <w:rPr/>
      </w:pPr>
      <w:r>
        <w:rPr/>
        <w:t>Alcoa Aluminum</w:t>
      </w:r>
    </w:p>
    <w:p>
      <w:pPr>
        <w:pStyle w:val="NormalWeb"/>
        <w:spacing w:before="0" w:after="0"/>
        <w:rPr>
          <w:rFonts w:ascii="Times New Roman" w:hAnsi="Times New Roman" w:eastAsia="Times New Roman" w:cs="Times New Roman"/>
          <w:sz w:val="22"/>
        </w:rPr>
      </w:pPr>
      <w:r>
        <w:rPr>
          <w:rFonts w:eastAsia="Times New Roman" w:cs="Times New Roman" w:ascii="Times New Roman" w:hAnsi="Times New Roman"/>
          <w:sz w:val="22"/>
        </w:rPr>
        <w:t>With aluminum prices having fallen every month this year and Alcoa’s latest financial numbers just out (15% decrease in revenue from Q2), it does not appear likely that the Intalco smelter will restart any time soon.  We will update you on this if there is any change.</w:t>
      </w:r>
    </w:p>
    <w:p>
      <w:pPr>
        <w:pStyle w:val="NormalWeb"/>
        <w:spacing w:before="0" w:after="0"/>
        <w:rPr>
          <w:rFonts w:ascii="Times New Roman" w:hAnsi="Times New Roman" w:eastAsia="Times New Roman" w:cs="Times New Roman"/>
          <w:sz w:val="10"/>
        </w:rPr>
      </w:pPr>
      <w:r>
        <w:rPr>
          <w:rFonts w:eastAsia="Times New Roman" w:cs="Times New Roman" w:ascii="Times New Roman" w:hAnsi="Times New Roman"/>
          <w:sz w:val="10"/>
        </w:rPr>
      </w:r>
    </w:p>
    <w:p>
      <w:pPr>
        <w:pStyle w:val="Heading2"/>
        <w:ind w:hanging="0" w:start="0"/>
        <w:rPr/>
      </w:pPr>
      <w:r>
        <w:rPr/>
        <w:t>Kaiser Aluminum</w:t>
      </w:r>
    </w:p>
    <w:p>
      <w:pPr>
        <w:pStyle w:val="BodyText"/>
        <w:rPr/>
      </w:pPr>
      <w:r>
        <w:rPr/>
        <w:t>Kaiser Aluminum Corp. said Wednesday it cut 25 percent of its salaried administrative and production jobs at its Trentwood rolling mill in Washington state due to weak demand for some aluminum products.  About 65 jobs got the axe, including managerial positions.  After having raked in a considerable amount of money last year from load reduction and energy buy-back deals by BPA and local utilities, Kaiser’s fortunes have dimmed as aluminum demand continues to crater inwards.</w:t>
      </w:r>
    </w:p>
    <w:p>
      <w:pPr>
        <w:pStyle w:val="Normal"/>
        <w:rPr>
          <w:rFonts w:eastAsia="Arial Unicode MS"/>
          <w:sz w:val="10"/>
        </w:rPr>
      </w:pPr>
      <w:r>
        <w:rPr>
          <w:rFonts w:eastAsia="Arial Unicode MS"/>
          <w:sz w:val="10"/>
        </w:rPr>
      </w:r>
    </w:p>
    <w:p>
      <w:pPr>
        <w:pStyle w:val="Heading2"/>
        <w:ind w:hanging="0" w:start="0"/>
        <w:rPr/>
      </w:pPr>
      <w:r>
        <w:rPr/>
        <w:t>Birmingham Steel Corporation</w:t>
      </w:r>
    </w:p>
    <w:p>
      <w:pPr>
        <w:pStyle w:val="BodyText"/>
        <w:rPr/>
      </w:pPr>
      <w:r>
        <w:rPr/>
        <w:t>As we notified you earlier this week, up to 369,190 Mwh could be up for sale on the open market if Seattle City Light is unable to come to an agreement with Birmingham Steel Corporation with regard to its West Seattle steel plant.  While the company has been active in its efforts to lobby the Seattle City Council to find a better deal for renegotiation, we have also discovered a pending lawsuit against the City of Seattle by Birmingham.  This may or may not be related to the negotiations, but it will certainly put a chill over the council members as they try to reshape the agreement.</w:t>
      </w:r>
    </w:p>
    <w:p>
      <w:pPr>
        <w:pStyle w:val="Normal"/>
        <w:rPr>
          <w:b/>
          <w:bCs/>
          <w:i/>
          <w:i/>
          <w:iCs/>
        </w:rPr>
      </w:pPr>
      <w:r>
        <w:rPr>
          <w:b/>
          <w:bCs/>
          <w:i/>
          <w:iCs/>
        </w:rPr>
      </w:r>
    </w:p>
    <w:p>
      <w:pPr>
        <w:pStyle w:val="Heading3"/>
        <w:ind w:hanging="0" w:start="0"/>
        <w:rPr/>
      </w:pPr>
      <w:r>
        <w:rPr/>
        <w:t>British Columbia Politics</w:t>
      </w:r>
    </w:p>
    <w:p>
      <w:pPr>
        <w:pStyle w:val="Heading2"/>
        <w:ind w:hanging="0" w:start="0"/>
        <w:rPr/>
      </w:pPr>
      <w:r>
        <w:rPr/>
        <w:t>BC Government</w:t>
      </w:r>
    </w:p>
    <w:p>
      <w:pPr>
        <w:pStyle w:val="Normal"/>
        <w:rPr/>
      </w:pPr>
      <w:r>
        <w:rPr>
          <w:sz w:val="22"/>
        </w:rPr>
        <w:t>A large coalition of Native American nations, labor, environmental groups and wilderness tourism operators has begun a campaign against the offshore drilling plans proposed by the BC Liberal Government.  Called the ‘Oil Free Coast Alliance’, they have begun the predictable resistance against the lifting of the offshore oil-drilling moratorium by the administration earlier this year.  After the stunning defeat of the NDP over the summer, the Greens have been isolated in far left field – we do not believe there is much political will or organization left coming from that side of the aisle</w:t>
      </w:r>
      <w:r>
        <w:rPr/>
        <w:t>.</w:t>
      </w:r>
    </w:p>
    <w:p>
      <w:pPr>
        <w:pStyle w:val="Normal"/>
        <w:rPr>
          <w:sz w:val="10"/>
        </w:rPr>
      </w:pPr>
      <w:r>
        <w:rPr>
          <w:sz w:val="10"/>
        </w:rPr>
      </w:r>
    </w:p>
    <w:p>
      <w:pPr>
        <w:pStyle w:val="Heading1"/>
        <w:ind w:hanging="0" w:start="0"/>
        <w:rPr>
          <w:i w:val="false"/>
          <w:i w:val="false"/>
          <w:iCs w:val="false"/>
          <w:u w:val="single"/>
        </w:rPr>
      </w:pPr>
      <w:r>
        <w:rPr>
          <w:i w:val="false"/>
          <w:iCs w:val="false"/>
          <w:u w:val="single"/>
        </w:rPr>
        <w:t>BC Hydro</w:t>
      </w:r>
    </w:p>
    <w:p>
      <w:pPr>
        <w:pStyle w:val="Normal"/>
        <w:rPr>
          <w:szCs w:val="17"/>
        </w:rPr>
      </w:pPr>
      <w:r>
        <w:rPr>
          <w:szCs w:val="17"/>
        </w:rPr>
        <w:t>What we predicted for BC Hydro has come to pass.  From the Vancouver Sun Thursday:</w:t>
      </w:r>
    </w:p>
    <w:p>
      <w:pPr>
        <w:pStyle w:val="Normal"/>
        <w:rPr/>
      </w:pPr>
      <w:r>
        <w:rPr>
          <w:sz w:val="10"/>
          <w:szCs w:val="17"/>
        </w:rPr>
        <w:br/>
      </w:r>
      <w:r>
        <w:rPr>
          <w:i/>
          <w:iCs/>
          <w:szCs w:val="17"/>
        </w:rPr>
        <w:t>Thursday, October 04, 2001</w:t>
      </w:r>
    </w:p>
    <w:p>
      <w:pPr>
        <w:pStyle w:val="BodyText"/>
        <w:rPr>
          <w:szCs w:val="18"/>
        </w:rPr>
      </w:pPr>
      <w:r>
        <w:rPr>
          <w:szCs w:val="18"/>
        </w:rPr>
        <w:t xml:space="preserve">As part of a complete government shakedown on finances, BC Hydro is shopping for buyers for three of its operations. </w:t>
      </w:r>
    </w:p>
    <w:p>
      <w:pPr>
        <w:pStyle w:val="Normal"/>
        <w:rPr>
          <w:sz w:val="10"/>
          <w:szCs w:val="18"/>
        </w:rPr>
      </w:pPr>
      <w:r>
        <w:rPr>
          <w:sz w:val="10"/>
          <w:szCs w:val="18"/>
        </w:rPr>
      </w:r>
    </w:p>
    <w:p>
      <w:pPr>
        <w:pStyle w:val="BodyText"/>
        <w:rPr>
          <w:szCs w:val="18"/>
        </w:rPr>
      </w:pPr>
      <w:r>
        <w:rPr>
          <w:szCs w:val="18"/>
        </w:rPr>
        <w:t xml:space="preserve">The Crown agency says it's looking for joint partnerships with the private sector in its customer and fleet services divisions, and Westech, Hydro's information technology branch. </w:t>
      </w:r>
    </w:p>
    <w:p>
      <w:pPr>
        <w:pStyle w:val="Normal"/>
        <w:rPr>
          <w:sz w:val="10"/>
          <w:szCs w:val="18"/>
        </w:rPr>
      </w:pPr>
      <w:r>
        <w:rPr>
          <w:sz w:val="10"/>
          <w:szCs w:val="18"/>
        </w:rPr>
      </w:r>
    </w:p>
    <w:p>
      <w:pPr>
        <w:pStyle w:val="BodyText"/>
        <w:rPr>
          <w:szCs w:val="18"/>
        </w:rPr>
      </w:pPr>
      <w:r>
        <w:rPr>
          <w:szCs w:val="18"/>
        </w:rPr>
        <w:t xml:space="preserve">But Hydro spokeswoman Elisha Odowichuk says this doesn't mean the utility is being broken up. </w:t>
      </w:r>
    </w:p>
    <w:p>
      <w:pPr>
        <w:pStyle w:val="Normal"/>
        <w:rPr>
          <w:sz w:val="10"/>
          <w:szCs w:val="18"/>
        </w:rPr>
      </w:pPr>
      <w:r>
        <w:rPr>
          <w:sz w:val="10"/>
          <w:szCs w:val="18"/>
        </w:rPr>
      </w:r>
    </w:p>
    <w:p>
      <w:pPr>
        <w:pStyle w:val="BodyText"/>
        <w:rPr>
          <w:szCs w:val="18"/>
        </w:rPr>
      </w:pPr>
      <w:r>
        <w:rPr>
          <w:szCs w:val="18"/>
        </w:rPr>
        <w:t xml:space="preserve">She says Hydro will give preferential treatment to proposals that maintain the divisions' employees, who number 1100. </w:t>
      </w:r>
    </w:p>
    <w:p>
      <w:pPr>
        <w:pStyle w:val="Normal"/>
        <w:rPr>
          <w:sz w:val="10"/>
          <w:szCs w:val="18"/>
        </w:rPr>
      </w:pPr>
      <w:r>
        <w:rPr>
          <w:sz w:val="10"/>
          <w:szCs w:val="18"/>
        </w:rPr>
      </w:r>
    </w:p>
    <w:p>
      <w:pPr>
        <w:pStyle w:val="BodyText"/>
        <w:rPr>
          <w:szCs w:val="18"/>
        </w:rPr>
      </w:pPr>
      <w:r>
        <w:rPr>
          <w:szCs w:val="18"/>
        </w:rPr>
        <w:t xml:space="preserve">Those employees make up almost 19 per cent of BC Hydro's staff. </w:t>
      </w:r>
    </w:p>
    <w:p>
      <w:pPr>
        <w:pStyle w:val="Normal"/>
        <w:rPr>
          <w:sz w:val="10"/>
          <w:szCs w:val="18"/>
        </w:rPr>
      </w:pPr>
      <w:r>
        <w:rPr>
          <w:sz w:val="10"/>
          <w:szCs w:val="18"/>
        </w:rPr>
      </w:r>
    </w:p>
    <w:p>
      <w:pPr>
        <w:pStyle w:val="BodyText"/>
        <w:rPr>
          <w:szCs w:val="18"/>
        </w:rPr>
      </w:pPr>
      <w:r>
        <w:rPr>
          <w:szCs w:val="18"/>
        </w:rPr>
        <w:t>Premier Gordon Campbell promised during the election that a Liberal government wouldn't privatize BC Hydro.</w:t>
      </w:r>
    </w:p>
    <w:p>
      <w:pPr>
        <w:pStyle w:val="Normal"/>
        <w:rPr>
          <w:b/>
          <w:bCs/>
          <w:i/>
          <w:i/>
          <w:iCs/>
          <w:szCs w:val="18"/>
        </w:rPr>
      </w:pPr>
      <w:r>
        <w:rPr>
          <w:b/>
          <w:bCs/>
          <w:i/>
          <w:iCs/>
          <w:szCs w:val="18"/>
        </w:rPr>
      </w:r>
    </w:p>
    <w:p>
      <w:pPr>
        <w:pStyle w:val="Heading3"/>
        <w:ind w:hanging="0" w:start="0"/>
        <w:rPr/>
      </w:pPr>
      <w:r>
        <w:rPr/>
        <w:t>Bonneville Power Administration</w:t>
      </w:r>
    </w:p>
    <w:p>
      <w:pPr>
        <w:pStyle w:val="BodyText"/>
        <w:rPr/>
      </w:pPr>
      <w:r>
        <w:rPr/>
        <w:t>Last week we provided you with some information on what we believe will be Bonneville’s anticipated winter export and import numbers.  We will continue monitoring this situation for any changes, although there does not appear to be any deviation from the plan as of yet.  Currently BPA’s main focus is dealing with customer concerns over the new rate case and the huge number of new products that the agency has put out to the market, which include slice, block sales and ancillary services.</w:t>
      </w:r>
    </w:p>
    <w:p>
      <w:pPr>
        <w:pStyle w:val="Normal"/>
        <w:rPr>
          <w:sz w:val="10"/>
        </w:rPr>
      </w:pPr>
      <w:r>
        <w:rPr>
          <w:sz w:val="10"/>
        </w:rPr>
      </w:r>
    </w:p>
    <w:p>
      <w:pPr>
        <w:pStyle w:val="BodyText"/>
        <w:rPr/>
      </w:pPr>
      <w:r>
        <w:rPr/>
        <w:t>In the recent BPA energy conservation forum, director Stephen Wright announced that a focus for BPA in the upcoming months would be efforts on regional conservation.  In conjunction with the Northwest Power Planning Council, BPA is strategizing on a 10-year Comprehensive Energy Efficiency Strategy that will push the envelope in terms of newer energy-saving devices.  Nevertheless, with deteriorating energy prices, the question of cost-effectiveness begins to rear its head again.</w:t>
      </w:r>
    </w:p>
    <w:p>
      <w:pPr>
        <w:pStyle w:val="Normal"/>
        <w:rPr/>
      </w:pPr>
      <w:r>
        <w:rPr/>
      </w:r>
    </w:p>
    <w:p>
      <w:pPr>
        <w:pStyle w:val="Normal"/>
        <w:rPr/>
      </w:pPr>
      <w:r>
        <w:rPr/>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0"/>
        <w:color w:val="00000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rPr>
  </w:style>
  <w:style w:type="paragraph" w:styleId="Heading2">
    <w:name w:val="heading 2"/>
    <w:basedOn w:val="Normal"/>
    <w:next w:val="Normal"/>
    <w:qFormat/>
    <w:pPr>
      <w:keepNext w:val="true"/>
      <w:numPr>
        <w:ilvl w:val="1"/>
        <w:numId w:val="1"/>
      </w:numPr>
      <w:outlineLvl w:val="1"/>
    </w:pPr>
    <w:rPr>
      <w:i/>
      <w:iCs/>
    </w:rPr>
  </w:style>
  <w:style w:type="paragraph" w:styleId="Heading3">
    <w:name w:val="heading 3"/>
    <w:basedOn w:val="Normal"/>
    <w:next w:val="Normal"/>
    <w:qFormat/>
    <w:pPr>
      <w:keepNext w:val="true"/>
      <w:numPr>
        <w:ilvl w:val="2"/>
        <w:numId w:val="1"/>
      </w:numPr>
      <w:outlineLvl w:val="2"/>
    </w:pPr>
    <w:rPr>
      <w:b/>
      <w:bCs/>
      <w:u w:val="single"/>
    </w:rPr>
  </w:style>
  <w:style w:type="character" w:styleId="WW8Num1z0">
    <w:name w:val="WW8Num1z0"/>
    <w:qFormat/>
    <w:rPr>
      <w:rFonts w:ascii="Symbol" w:hAnsi="Symbol" w:cs="Symbol"/>
      <w:color w:val="000000"/>
      <w:sz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2001-10-10T12:58:00Z</dcterms:created>
  <dc:creator>Viet Nguyen</dc:creator>
  <dc:description/>
  <dc:language>en-CA</dc:language>
  <cp:lastModifiedBy>bwhitman</cp:lastModifiedBy>
  <dcterms:modified xsi:type="dcterms:W3CDTF">2001-10-10T12:58:00Z</dcterms:modified>
  <cp:revision>2</cp:revision>
  <dc:subject/>
  <dc:title>011005 Report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1687587129</vt:r8>
  </property>
  <property fmtid="{D5CDD505-2E9C-101B-9397-08002B2CF9AE}" pid="3" name="_AuthorEmail">
    <vt:lpwstr>chcrowl@tdinternational.com</vt:lpwstr>
  </property>
  <property fmtid="{D5CDD505-2E9C-101B-9397-08002B2CF9AE}" pid="4" name="_AuthorEmailDisplayName">
    <vt:lpwstr>Chris Crowl</vt:lpwstr>
  </property>
  <property fmtid="{D5CDD505-2E9C-101B-9397-08002B2CF9AE}" pid="5" name="_EmailSubject">
    <vt:lpwstr>Project ZAPATA</vt:lpwstr>
  </property>
</Properties>
</file>