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i w:val="false"/>
          <w:i w:val="false"/>
          <w:iCs w:val="false"/>
          <w:color w:val="0000FF"/>
          <w:sz w:val="32"/>
          <w:szCs w:val="22"/>
        </w:rPr>
      </w:pPr>
      <w:r>
        <w:rPr>
          <w:i w:val="false"/>
          <w:iCs w:val="false"/>
          <w:color w:val="0000FF"/>
          <w:sz w:val="32"/>
          <w:szCs w:val="22"/>
        </w:rPr>
        <w:t>WESTERN POWER UPDATE</w:t>
      </w:r>
    </w:p>
    <w:p>
      <w:pPr>
        <w:pStyle w:val="Normal"/>
        <w:jc w:val="center"/>
        <w:rPr>
          <w:b/>
          <w:bCs/>
          <w:color w:val="0000FF"/>
          <w:sz w:val="28"/>
        </w:rPr>
      </w:pPr>
      <w:r>
        <w:rPr>
          <w:b/>
          <w:bCs/>
          <w:color w:val="0000FF"/>
          <w:sz w:val="28"/>
        </w:rPr>
        <w:t>10/02/2001</w:t>
      </w:r>
    </w:p>
    <w:p>
      <w:pPr>
        <w:pStyle w:val="Heading2"/>
        <w:ind w:hanging="0" w:start="0"/>
        <w:rPr>
          <w:b/>
          <w:bCs/>
          <w:i w:val="false"/>
          <w:i w:val="false"/>
          <w:iCs w:val="false"/>
          <w:color w:val="0000FF"/>
          <w:sz w:val="28"/>
          <w:szCs w:val="22"/>
        </w:rPr>
      </w:pPr>
      <w:r>
        <w:rPr>
          <w:b/>
          <w:bCs/>
          <w:i w:val="false"/>
          <w:iCs w:val="false"/>
          <w:color w:val="0000FF"/>
          <w:sz w:val="28"/>
          <w:szCs w:val="22"/>
        </w:rPr>
      </w:r>
    </w:p>
    <w:p>
      <w:pPr>
        <w:pStyle w:val="Heading2"/>
        <w:ind w:hanging="0" w:start="0"/>
        <w:rPr>
          <w:szCs w:val="22"/>
        </w:rPr>
      </w:pPr>
      <w:r>
        <w:rPr>
          <w:color w:val="0000FF"/>
          <w:sz w:val="22"/>
          <w:szCs w:val="22"/>
        </w:rPr>
        <w:t>For questions or comments regarding this report please contact G. Britt Whitman at ex:5-4014 or Kristin Walsh at ex:3-9510</w:t>
      </w:r>
      <w:r>
        <w:rPr>
          <w:color w:val="0000FF"/>
          <w:szCs w:val="22"/>
        </w:rPr>
        <w:t>.</w:t>
      </w:r>
    </w:p>
    <w:p>
      <w:pPr>
        <w:pStyle w:val="Heading4"/>
        <w:ind w:hanging="0" w:start="0"/>
        <w:rPr>
          <w:szCs w:val="22"/>
        </w:rPr>
      </w:pPr>
      <w:r>
        <w:rPr>
          <w:szCs w:val="22"/>
        </w:rPr>
      </w:r>
    </w:p>
    <w:p>
      <w:pPr>
        <w:pStyle w:val="Heading4"/>
        <w:ind w:hanging="0" w:start="0"/>
        <w:rPr>
          <w:sz w:val="28"/>
        </w:rPr>
      </w:pPr>
      <w:r>
        <w:rPr>
          <w:sz w:val="28"/>
        </w:rPr>
        <w:t>EXECUTIVE SUMMARY</w:t>
      </w:r>
    </w:p>
    <w:p>
      <w:pPr>
        <w:pStyle w:val="Normal"/>
        <w:numPr>
          <w:ilvl w:val="0"/>
          <w:numId w:val="2"/>
        </w:numPr>
        <w:rPr>
          <w:b/>
          <w:bCs/>
        </w:rPr>
      </w:pPr>
      <w:r>
        <w:rPr>
          <w:b/>
          <w:bCs/>
        </w:rPr>
        <w:t>Aluminum Smelters (DSI’s)</w:t>
      </w:r>
    </w:p>
    <w:p>
      <w:pPr>
        <w:pStyle w:val="Normal"/>
        <w:numPr>
          <w:ilvl w:val="0"/>
          <w:numId w:val="2"/>
        </w:numPr>
        <w:rPr>
          <w:b/>
          <w:bCs/>
        </w:rPr>
      </w:pPr>
      <w:r>
        <w:rPr>
          <w:b/>
          <w:bCs/>
        </w:rPr>
        <w:t>FERC</w:t>
      </w:r>
    </w:p>
    <w:p>
      <w:pPr>
        <w:pStyle w:val="Normal"/>
        <w:numPr>
          <w:ilvl w:val="0"/>
          <w:numId w:val="2"/>
        </w:numPr>
        <w:rPr>
          <w:b/>
          <w:bCs/>
        </w:rPr>
      </w:pPr>
      <w:r>
        <w:rPr>
          <w:b/>
          <w:bCs/>
        </w:rPr>
        <w:t>BC Politics &amp; BC Hydro</w:t>
      </w:r>
    </w:p>
    <w:p>
      <w:pPr>
        <w:pStyle w:val="Normal"/>
        <w:numPr>
          <w:ilvl w:val="0"/>
          <w:numId w:val="2"/>
        </w:numPr>
        <w:rPr>
          <w:b/>
          <w:bCs/>
        </w:rPr>
      </w:pPr>
      <w:r>
        <w:rPr>
          <w:b/>
          <w:bCs/>
        </w:rPr>
        <w:t>BPA</w:t>
      </w:r>
    </w:p>
    <w:p>
      <w:pPr>
        <w:pStyle w:val="Normal"/>
        <w:rPr>
          <w:b/>
          <w:bCs/>
        </w:rPr>
      </w:pPr>
      <w:r>
        <w:rPr>
          <w:b/>
          <w:bCs/>
        </w:rPr>
      </w:r>
    </w:p>
    <w:p>
      <w:pPr>
        <w:pStyle w:val="Normal"/>
        <w:rPr/>
      </w:pPr>
      <w:r>
        <w:rPr/>
      </w:r>
    </w:p>
    <w:p>
      <w:pPr>
        <w:pStyle w:val="Normal"/>
        <w:rPr>
          <w:sz w:val="10"/>
        </w:rPr>
      </w:pPr>
      <w:r>
        <w:rPr>
          <w:sz w:val="10"/>
        </w:rPr>
      </w:r>
    </w:p>
    <w:p>
      <w:pPr>
        <w:pStyle w:val="Heading3"/>
        <w:ind w:hanging="0" w:start="0"/>
        <w:rPr>
          <w:sz w:val="24"/>
        </w:rPr>
      </w:pPr>
      <w:r>
        <w:rPr>
          <w:sz w:val="24"/>
        </w:rPr>
        <w:t>SMELTER UPDATE</w:t>
      </w:r>
    </w:p>
    <w:p>
      <w:pPr>
        <w:pStyle w:val="BodyText"/>
        <w:rPr>
          <w:i/>
          <w:i/>
          <w:iCs/>
        </w:rPr>
      </w:pPr>
      <w:r>
        <w:rPr/>
        <w:t>Pacific Northwest aluminum smelters, which represent 38% of the aluminum made in the U.S., are expected to remain closed even though the price of electricity, which prompted the closures, has fallen. Now that aluminum is around 60 cents a pound, it still would not make much economic sense to restart those idled smelters. Remaining offline would help the supply-demand ratio stay more balanced, preventing an aluminum glut that pushes prices down.</w:t>
      </w:r>
    </w:p>
    <w:p>
      <w:pPr>
        <w:pStyle w:val="Normal"/>
        <w:rPr>
          <w:i/>
          <w:i/>
          <w:iCs/>
          <w:sz w:val="10"/>
        </w:rPr>
      </w:pPr>
      <w:r>
        <w:rPr>
          <w:i/>
          <w:iCs/>
          <w:sz w:val="10"/>
        </w:rPr>
      </w:r>
    </w:p>
    <w:p>
      <w:pPr>
        <w:pStyle w:val="Heading2"/>
        <w:ind w:hanging="0" w:start="0"/>
        <w:rPr>
          <w:b/>
          <w:bCs/>
          <w:sz w:val="22"/>
        </w:rPr>
      </w:pPr>
      <w:r>
        <w:rPr>
          <w:b/>
          <w:bCs/>
          <w:sz w:val="22"/>
        </w:rPr>
        <w:t>Alcoa Aluminum</w:t>
      </w:r>
    </w:p>
    <w:p>
      <w:pPr>
        <w:pStyle w:val="Normal"/>
        <w:rPr/>
      </w:pPr>
      <w:r>
        <w:rPr>
          <w:sz w:val="22"/>
        </w:rPr>
        <w:t>Talks with BC Hydro continue to be on hold until the price of aluminum begins to rebound</w:t>
      </w:r>
      <w:r>
        <w:rPr/>
        <w:t>.</w:t>
      </w:r>
    </w:p>
    <w:p>
      <w:pPr>
        <w:pStyle w:val="Normal"/>
        <w:rPr>
          <w:sz w:val="10"/>
        </w:rPr>
      </w:pPr>
      <w:r>
        <w:rPr>
          <w:sz w:val="10"/>
        </w:rPr>
      </w:r>
    </w:p>
    <w:p>
      <w:pPr>
        <w:pStyle w:val="Heading5"/>
        <w:ind w:hanging="0" w:start="0"/>
        <w:rPr>
          <w:sz w:val="22"/>
        </w:rPr>
      </w:pPr>
      <w:r>
        <w:rPr>
          <w:sz w:val="22"/>
        </w:rPr>
        <w:t>Kaiser Aluminum</w:t>
      </w:r>
    </w:p>
    <w:p>
      <w:pPr>
        <w:pStyle w:val="Normal"/>
        <w:rPr/>
      </w:pPr>
      <w:r>
        <w:rPr>
          <w:sz w:val="22"/>
        </w:rPr>
        <w:t>Last year, Kaiser Aluminum obtained taxpayer-subsidized hydropower from the Bonneville Power Administration for $22.60 per megawatt hour and reaped about a $60 million profit by shutting down its aluminum production and reselling the electricity.  Last February, Clark agreed to pay $325 per megawatt hour, or a total of $63 million, for electricity it would use in August and this month. That is more than 14 times the amount Kaiser paid for the energy. As a part of the FERC refund process, Pacific Northwest utilities were looking to obtain $1.9 billion in perceived overcharges – that process was struck down by a federal judge on Tuesday, 24 September</w:t>
      </w:r>
      <w:r>
        <w:rPr/>
        <w:t xml:space="preserve">.  </w:t>
      </w:r>
    </w:p>
    <w:p>
      <w:pPr>
        <w:pStyle w:val="Normal"/>
        <w:rPr>
          <w:sz w:val="10"/>
        </w:rPr>
      </w:pPr>
      <w:r>
        <w:rPr>
          <w:sz w:val="10"/>
        </w:rPr>
      </w:r>
    </w:p>
    <w:p>
      <w:pPr>
        <w:pStyle w:val="BodyText"/>
        <w:rPr/>
      </w:pPr>
      <w:r>
        <w:rPr/>
        <w:t>That decision will not be a driver for Kaiser’s policies going forward, but rather the falling demand for aluminum will make production cost-prohibitive until there are some buyers who will step forward.  Kaiser has already said it will not restart its smelter here any time soon.</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Heading3"/>
        <w:ind w:hanging="0" w:start="0"/>
        <w:rPr>
          <w:sz w:val="24"/>
        </w:rPr>
      </w:pPr>
      <w:r>
        <w:rPr>
          <w:sz w:val="24"/>
        </w:rPr>
        <w:t>FERC</w:t>
      </w:r>
    </w:p>
    <w:p>
      <w:pPr>
        <w:pStyle w:val="Normal"/>
        <w:rPr>
          <w:b/>
          <w:bCs/>
          <w:sz w:val="10"/>
        </w:rPr>
      </w:pPr>
      <w:r>
        <w:rPr>
          <w:b/>
          <w:bCs/>
          <w:sz w:val="10"/>
        </w:rPr>
      </w:r>
    </w:p>
    <w:p>
      <w:pPr>
        <w:pStyle w:val="Normal"/>
        <w:rPr/>
      </w:pPr>
      <w:r>
        <w:rPr>
          <w:sz w:val="22"/>
        </w:rPr>
        <w:t xml:space="preserve">As we indicated earlier, </w:t>
      </w:r>
      <w:r>
        <w:rPr>
          <w:sz w:val="22"/>
          <w:szCs w:val="20"/>
        </w:rPr>
        <w:t>a FERC Administrative Law Judge has recommended that FERC commissioners deny the $1.9 billion in refunds sought by Pacific Northwest (PNW) municipal utilities and wholesale power buyers for power purchases when market prices soared to record highs. The judge found: "Prices in the PNW during the period 12/25/00 - 6/20/01 were the result of a number of factors, the shortage of supply, excess demand, drought, increased price in natural gas along with the price signals from the California markets. The PNW is a competitive market and has been for a long time. The transactions involved in this proceeding resulted from bilateral agreements between the parties.</w:t>
      </w:r>
      <w:r>
        <w:rPr>
          <w:szCs w:val="20"/>
        </w:rPr>
        <w:t xml:space="preserve">  Under these circumstances the prices were not unreasonable or unjust and refunds should not be ordered in this proceeding."</w:t>
      </w:r>
    </w:p>
    <w:p>
      <w:pPr>
        <w:pStyle w:val="Normal"/>
        <w:rPr>
          <w:b/>
          <w:bCs/>
          <w:i/>
          <w:i/>
          <w:iCs/>
          <w:sz w:val="10"/>
        </w:rPr>
      </w:pPr>
      <w:r>
        <w:rPr>
          <w:b/>
          <w:bCs/>
          <w:i/>
          <w:iCs/>
          <w:sz w:val="10"/>
        </w:rPr>
      </w:r>
    </w:p>
    <w:p>
      <w:pPr>
        <w:pStyle w:val="BodyText"/>
        <w:rPr/>
      </w:pPr>
      <w:r>
        <w:rPr/>
        <w:t>The local reaction to this decision has been muted to silent.  Local press coverage has been zero on this ruling, in part due to the fact that BPA has been holding a large, regional industry conservation trade show in Portland, OR this week.  All of the principals and utilities communication people were in Oregon from 24 – 26 September and have just returned to deal with this setback.</w:t>
      </w:r>
    </w:p>
    <w:p>
      <w:pPr>
        <w:pStyle w:val="Normal"/>
        <w:rPr>
          <w:b/>
          <w:bCs/>
          <w:i/>
          <w:i/>
          <w:iCs/>
          <w:sz w:val="28"/>
        </w:rPr>
      </w:pPr>
      <w:r>
        <w:rPr>
          <w:b/>
          <w:bCs/>
          <w:i/>
          <w:iCs/>
          <w:sz w:val="28"/>
        </w:rPr>
      </w:r>
    </w:p>
    <w:p>
      <w:pPr>
        <w:pStyle w:val="Heading3"/>
        <w:ind w:hanging="0" w:start="0"/>
        <w:rPr>
          <w:sz w:val="24"/>
        </w:rPr>
      </w:pPr>
      <w:r>
        <w:rPr>
          <w:sz w:val="24"/>
        </w:rPr>
        <w:t>BRITISH COLUMBIA</w:t>
      </w:r>
    </w:p>
    <w:p>
      <w:pPr>
        <w:pStyle w:val="Normal"/>
        <w:rPr>
          <w:sz w:val="10"/>
        </w:rPr>
      </w:pPr>
      <w:r>
        <w:rPr>
          <w:sz w:val="10"/>
        </w:rPr>
      </w:r>
    </w:p>
    <w:p>
      <w:pPr>
        <w:pStyle w:val="Heading2"/>
        <w:ind w:hanging="0" w:start="0"/>
        <w:rPr>
          <w:b/>
          <w:bCs/>
          <w:i w:val="false"/>
          <w:i w:val="false"/>
          <w:iCs w:val="false"/>
          <w:sz w:val="22"/>
        </w:rPr>
      </w:pPr>
      <w:r>
        <w:rPr>
          <w:b/>
          <w:bCs/>
          <w:i w:val="false"/>
          <w:iCs w:val="false"/>
          <w:sz w:val="22"/>
        </w:rPr>
        <w:t>Politics</w:t>
      </w:r>
    </w:p>
    <w:p>
      <w:pPr>
        <w:pStyle w:val="BodyText"/>
        <w:rPr/>
      </w:pPr>
      <w:r>
        <w:rPr/>
        <w:t>The BC Liberal Party has projected a deficit of $6 billion for the 2003-2004 fiscal year, which is going to be offset by a number of cutbacks in government spending – all part of the core review underway.  The $6 billion number is probably overstated, but NDP estimates are in the range of $2.5 billion.  We can expect something in the middle.</w:t>
      </w:r>
    </w:p>
    <w:p>
      <w:pPr>
        <w:pStyle w:val="Normal"/>
        <w:rPr>
          <w:sz w:val="10"/>
        </w:rPr>
      </w:pPr>
      <w:r>
        <w:rPr>
          <w:sz w:val="10"/>
        </w:rPr>
      </w:r>
    </w:p>
    <w:p>
      <w:pPr>
        <w:pStyle w:val="Normal"/>
        <w:rPr/>
      </w:pPr>
      <w:r>
        <w:rPr>
          <w:sz w:val="22"/>
        </w:rPr>
        <w:t xml:space="preserve">Nevertheless, Finance Minister Gary Collins has stepped up to the plate and stated that there will be a number of budget reductions in the provincial government spending, which will involve privatization.  Collins said, </w:t>
      </w:r>
      <w:r>
        <w:rPr>
          <w:sz w:val="22"/>
          <w:szCs w:val="18"/>
        </w:rPr>
        <w:t xml:space="preserve">"The only place where we've ruled out selling central assets is B.C. Rail and the core parts of B.C. Hydro."  </w:t>
      </w:r>
    </w:p>
    <w:p>
      <w:pPr>
        <w:pStyle w:val="Normal"/>
        <w:rPr>
          <w:sz w:val="10"/>
          <w:szCs w:val="18"/>
        </w:rPr>
      </w:pPr>
      <w:r>
        <w:rPr>
          <w:sz w:val="10"/>
          <w:szCs w:val="18"/>
        </w:rPr>
      </w:r>
    </w:p>
    <w:p>
      <w:pPr>
        <w:pStyle w:val="BodyText"/>
        <w:rPr>
          <w:szCs w:val="18"/>
        </w:rPr>
      </w:pPr>
      <w:r>
        <w:rPr>
          <w:szCs w:val="18"/>
        </w:rPr>
        <w:t>Thousands of civil service employees are running scared right now.  The 2% annual wage increase collective bargaining agreement they just inked is going to mean there will be a large number of layoffs.  In addition, the teachers are demanding a whopping 34% increase, which isn’t even in the ballpark for negotiations in the face of government deficits.  We’ll expect to see a great deal of friction in the coming months as jitters of recession and budget cutbacks begin to take their toll.  Everyone is awaiting the results of the core review.</w:t>
      </w:r>
    </w:p>
    <w:p>
      <w:pPr>
        <w:pStyle w:val="Normal"/>
        <w:rPr>
          <w:sz w:val="10"/>
          <w:szCs w:val="18"/>
        </w:rPr>
      </w:pPr>
      <w:r>
        <w:rPr>
          <w:sz w:val="10"/>
          <w:szCs w:val="18"/>
        </w:rPr>
      </w:r>
    </w:p>
    <w:p>
      <w:pPr>
        <w:pStyle w:val="BodyText"/>
        <w:rPr>
          <w:szCs w:val="18"/>
        </w:rPr>
      </w:pPr>
      <w:r>
        <w:rPr>
          <w:szCs w:val="18"/>
        </w:rPr>
        <w:t>Once the core review is finished, the Ministries of Finance and Energy (and Mines) will look to begin the implementation of longer-range energy development strategies that include offshore drilling and exploration.  The team is already in place, working to turn out some recommendations pending the wrap up of the government restructuring.</w:t>
      </w:r>
    </w:p>
    <w:p>
      <w:pPr>
        <w:pStyle w:val="Normal"/>
        <w:rPr>
          <w:szCs w:val="18"/>
        </w:rPr>
      </w:pPr>
      <w:r>
        <w:rPr>
          <w:szCs w:val="18"/>
        </w:rPr>
      </w:r>
    </w:p>
    <w:p>
      <w:pPr>
        <w:pStyle w:val="Heading6"/>
        <w:ind w:hanging="0" w:start="0"/>
        <w:rPr/>
      </w:pPr>
      <w:r>
        <w:rPr/>
        <w:t>BC Hydro</w:t>
      </w:r>
    </w:p>
    <w:p>
      <w:pPr>
        <w:pStyle w:val="BodyText"/>
        <w:rPr>
          <w:szCs w:val="18"/>
        </w:rPr>
      </w:pPr>
      <w:r>
        <w:rPr>
          <w:szCs w:val="18"/>
        </w:rPr>
        <w:t>We stand by our prediction that BC Hydro will continue to move towards divesting itself of information technology assets, as well as some transmission assets – although there is good reason to believe now that BC Hydro transmission will be owned by a Crown Corporation (Canadian version of a state-owned company).  The holding company will likely engage in the long-term leasing of transmission assets, opening up the management of these assets to private-sector bidders.</w:t>
      </w:r>
    </w:p>
    <w:p>
      <w:pPr>
        <w:pStyle w:val="Normal"/>
        <w:rPr>
          <w:sz w:val="10"/>
          <w:szCs w:val="18"/>
        </w:rPr>
      </w:pPr>
      <w:r>
        <w:rPr>
          <w:sz w:val="10"/>
          <w:szCs w:val="18"/>
        </w:rPr>
      </w:r>
    </w:p>
    <w:p>
      <w:pPr>
        <w:pStyle w:val="Normal"/>
        <w:rPr>
          <w:sz w:val="22"/>
        </w:rPr>
      </w:pPr>
      <w:r>
        <w:rPr>
          <w:sz w:val="22"/>
        </w:rPr>
        <w:t>On 5 September, BC Hydro began polling to see whether or not it was feasible to begin the process of selling off some of its assets.  While we do not have a copy of this poll, some of the questions included, “</w:t>
      </w:r>
      <w:r>
        <w:rPr>
          <w:sz w:val="22"/>
          <w:szCs w:val="18"/>
        </w:rPr>
        <w:t xml:space="preserve">Would you purchase your power from another company?" followed almost immediately with the question, "Would you recommend to a friend to buy power from B.C. Hydro?"  </w:t>
      </w:r>
    </w:p>
    <w:p>
      <w:pPr>
        <w:pStyle w:val="Normal"/>
        <w:rPr>
          <w:b/>
          <w:bCs/>
          <w:i/>
          <w:i/>
          <w:iCs/>
          <w:sz w:val="10"/>
        </w:rPr>
      </w:pPr>
      <w:r>
        <w:rPr>
          <w:b/>
          <w:bCs/>
          <w:i/>
          <w:iCs/>
          <w:sz w:val="10"/>
        </w:rPr>
      </w:r>
    </w:p>
    <w:p>
      <w:pPr>
        <w:pStyle w:val="NormalWeb"/>
        <w:spacing w:before="0" w:after="0"/>
        <w:rPr>
          <w:rFonts w:ascii="Times New Roman" w:hAnsi="Times New Roman" w:eastAsia="Times New Roman" w:cs="Times New Roman"/>
        </w:rPr>
      </w:pPr>
      <w:r>
        <w:rPr>
          <w:rFonts w:eastAsia="Times New Roman" w:cs="Times New Roman" w:ascii="Times New Roman" w:hAnsi="Times New Roman"/>
          <w:sz w:val="22"/>
        </w:rPr>
        <w:t>If Hydro has already committed to polling, it appears the public opinion campaign is already underway.  We will expect to see a steady stream of fine-tuned, crafted political messaging to come out of the communications office for the next few weeks.</w:t>
      </w:r>
    </w:p>
    <w:p>
      <w:pPr>
        <w:pStyle w:val="Normal"/>
        <w:rPr>
          <w:rFonts w:ascii="Times New Roman" w:hAnsi="Times New Roman" w:eastAsia="Times New Roman" w:cs="Times New Roman"/>
          <w:b/>
          <w:bCs/>
          <w:i/>
          <w:i/>
          <w:iCs/>
          <w:sz w:val="28"/>
        </w:rPr>
      </w:pPr>
      <w:r>
        <w:rPr>
          <w:rFonts w:eastAsia="Times New Roman" w:cs="Times New Roman"/>
          <w:b/>
          <w:bCs/>
          <w:i/>
          <w:iCs/>
          <w:sz w:val="28"/>
        </w:rPr>
      </w:r>
    </w:p>
    <w:p>
      <w:pPr>
        <w:pStyle w:val="Heading3"/>
        <w:ind w:hanging="0" w:start="0"/>
        <w:rPr>
          <w:sz w:val="24"/>
        </w:rPr>
      </w:pPr>
      <w:r>
        <w:rPr>
          <w:sz w:val="24"/>
        </w:rPr>
        <w:t>BPA</w:t>
      </w:r>
    </w:p>
    <w:p>
      <w:pPr>
        <w:pStyle w:val="Normal"/>
        <w:rPr>
          <w:sz w:val="10"/>
        </w:rPr>
      </w:pPr>
      <w:r>
        <w:rPr>
          <w:sz w:val="10"/>
        </w:rPr>
      </w:r>
    </w:p>
    <w:p>
      <w:pPr>
        <w:pStyle w:val="BodyText"/>
        <w:rPr/>
      </w:pPr>
      <w:r>
        <w:rPr/>
        <w:t>BPA has already forecast a 17% chance that current electricity supply will be insufficient to meet electricity demand this winter.  In an effort to reduce the risk, BPA issued its Temporary Small Resource (TSR) Policy earlier this year, which would have effectively allowed small power users to expand their own power generation without affecting their load requirement from BPA (under its 5b/9c policy).  To qualify for the TSR policy, users would have had to have shown at least a 10% load reduction under BPA’s load reduction program.  The policy, which only affects 450MW of small resources, each producing 1MW to 25MW, is under effect from June 2001 through September 2002.</w:t>
      </w:r>
    </w:p>
    <w:p>
      <w:pPr>
        <w:pStyle w:val="Normal"/>
        <w:rPr>
          <w:sz w:val="10"/>
        </w:rPr>
      </w:pPr>
      <w:r>
        <w:rPr>
          <w:sz w:val="10"/>
        </w:rPr>
      </w:r>
    </w:p>
    <w:p>
      <w:pPr>
        <w:pStyle w:val="BodyText"/>
        <w:rPr/>
      </w:pPr>
      <w:r>
        <w:rPr/>
        <w:t>Critics of the program felt that this kind of flexible interpretation of the 5b/9c rule would have allowed the entire additional 450MW to be generated and sold directly into the spot market as export sales.  It is unclear whether this has policy has had a depressing effect on electricity prices on the West Coast, although it may have contributed.</w:t>
      </w:r>
    </w:p>
    <w:p>
      <w:pPr>
        <w:pStyle w:val="Normal"/>
        <w:rPr>
          <w:sz w:val="10"/>
        </w:rPr>
      </w:pPr>
      <w:r>
        <w:rPr>
          <w:sz w:val="10"/>
        </w:rPr>
      </w:r>
    </w:p>
    <w:p>
      <w:pPr>
        <w:pStyle w:val="BodyText"/>
        <w:rPr/>
      </w:pPr>
      <w:r>
        <w:rPr/>
        <w:t>The two attached documents detail regional electricity import/export forecasts for 2001.  There are figures, which give an indication of BPA imports and exports for 2001, as well as January peak loads.  Hopefully, the client will find these charts useful.</w:t>
      </w:r>
    </w:p>
    <w:p>
      <w:pPr>
        <w:pStyle w:val="Normal"/>
        <w:rPr/>
      </w:pPr>
      <w:r>
        <w:rPr/>
      </w:r>
    </w:p>
    <w:sectPr>
      <w:type w:val="nextPage"/>
      <w:pgSz w:w="12240" w:h="15840"/>
      <w:pgMar w:left="720" w:right="720" w:gutter="0" w:header="0" w:top="360" w:footer="0"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sz w:val="28"/>
    </w:rPr>
  </w:style>
  <w:style w:type="paragraph" w:styleId="Heading2">
    <w:name w:val="heading 2"/>
    <w:basedOn w:val="Normal"/>
    <w:next w:val="Normal"/>
    <w:qFormat/>
    <w:pPr>
      <w:keepNext w:val="true"/>
      <w:numPr>
        <w:ilvl w:val="1"/>
        <w:numId w:val="1"/>
      </w:numPr>
      <w:outlineLvl w:val="1"/>
    </w:pPr>
    <w:rPr>
      <w:i/>
      <w:iCs/>
    </w:rPr>
  </w:style>
  <w:style w:type="paragraph" w:styleId="Heading3">
    <w:name w:val="heading 3"/>
    <w:basedOn w:val="Normal"/>
    <w:next w:val="Normal"/>
    <w:qFormat/>
    <w:pPr>
      <w:keepNext w:val="true"/>
      <w:numPr>
        <w:ilvl w:val="2"/>
        <w:numId w:val="1"/>
      </w:numPr>
      <w:outlineLvl w:val="2"/>
    </w:pPr>
    <w:rPr>
      <w:b/>
      <w:bCs/>
      <w:sz w:val="22"/>
      <w:u w:val="single"/>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outlineLvl w:val="5"/>
    </w:pPr>
    <w:rPr>
      <w:b/>
      <w:bCs/>
      <w:sz w:val="22"/>
    </w:rPr>
  </w:style>
  <w:style w:type="character" w:styleId="WW8Num1z0">
    <w:name w:val="WW8Num1z0"/>
    <w:qFormat/>
    <w:rPr>
      <w:rFonts w:ascii="Symbol" w:hAnsi="Symbol" w:cs="Symbol"/>
      <w:color w:val="000000"/>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2001-10-02T19:44:00Z</dcterms:created>
  <dc:creator>Chris Crowl</dc:creator>
  <dc:description/>
  <dc:language>en-CA</dc:language>
  <cp:lastModifiedBy>bwhitman</cp:lastModifiedBy>
  <dcterms:modified xsi:type="dcterms:W3CDTF">2001-10-02T19:44:00Z</dcterms:modified>
  <cp:revision>2</cp:revision>
  <dc:subject/>
  <dc:title>MEMORANDUM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-1604859005</vt:r8>
  </property>
  <property fmtid="{D5CDD505-2E9C-101B-9397-08002B2CF9AE}" pid="3" name="_AuthorEmail">
    <vt:lpwstr>chcrowl@tdinternational.com</vt:lpwstr>
  </property>
  <property fmtid="{D5CDD505-2E9C-101B-9397-08002B2CF9AE}" pid="4" name="_AuthorEmailDisplayName">
    <vt:lpwstr>Chris Crowl</vt:lpwstr>
  </property>
  <property fmtid="{D5CDD505-2E9C-101B-9397-08002B2CF9AE}" pid="5" name="_EmailSubject">
    <vt:lpwstr>Project ZAPATA</vt:lpwstr>
  </property>
</Properties>
</file>