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u w:val="single"/>
        </w:rPr>
      </w:pPr>
      <w:r>
        <w:rPr>
          <w:b/>
          <w:bCs/>
          <w:u w:val="single"/>
        </w:rPr>
        <w:t>Enron Global LNG – USA West Coast Project</w:t>
      </w:r>
    </w:p>
    <w:p>
      <w:pPr>
        <w:pStyle w:val="Normal"/>
        <w:jc w:val="center"/>
        <w:rPr>
          <w:b/>
          <w:bCs/>
          <w:u w:val="single"/>
        </w:rPr>
      </w:pPr>
      <w:r>
        <w:rPr>
          <w:b/>
          <w:bCs/>
          <w:u w:val="single"/>
        </w:rPr>
      </w:r>
    </w:p>
    <w:p>
      <w:pPr>
        <w:pStyle w:val="Normal"/>
        <w:jc w:val="center"/>
        <w:rPr>
          <w:b/>
          <w:bCs/>
          <w:u w:val="single"/>
        </w:rPr>
      </w:pPr>
      <w:r>
        <w:rPr>
          <w:b/>
          <w:bCs/>
          <w:u w:val="single"/>
        </w:rPr>
        <w:t>11 May 2001 Weekly Report</w:t>
      </w:r>
    </w:p>
    <w:p>
      <w:pPr>
        <w:pStyle w:val="Normal"/>
        <w:jc w:val="center"/>
        <w:rPr>
          <w:b/>
          <w:bCs/>
          <w:u w:val="single"/>
        </w:rPr>
      </w:pPr>
      <w:r>
        <w:rPr>
          <w:b/>
          <w:bCs/>
          <w:u w:val="single"/>
        </w:rPr>
      </w:r>
    </w:p>
    <w:p>
      <w:pPr>
        <w:pStyle w:val="BodyTextIndent"/>
        <w:rPr/>
      </w:pPr>
      <w:r>
        <w:rPr/>
        <w:br/>
      </w:r>
      <w:r>
        <w:rPr>
          <w:b/>
          <w:bCs/>
          <w:u w:val="single"/>
        </w:rPr>
        <w:t>Reconnaissance Trip to California</w:t>
      </w:r>
    </w:p>
    <w:p>
      <w:pPr>
        <w:pStyle w:val="Normal"/>
        <w:ind w:start="360" w:end="0"/>
        <w:rPr>
          <w:b/>
          <w:bCs/>
          <w:u w:val="single"/>
        </w:rPr>
      </w:pPr>
      <w:r>
        <w:rPr>
          <w:b/>
          <w:bCs/>
          <w:u w:val="single"/>
        </w:rPr>
      </w:r>
    </w:p>
    <w:p>
      <w:pPr>
        <w:pStyle w:val="Normal"/>
        <w:numPr>
          <w:ilvl w:val="0"/>
          <w:numId w:val="4"/>
        </w:numPr>
        <w:rPr/>
      </w:pPr>
      <w:r>
        <w:rPr/>
        <w:t>Meeting with Socal Gas Company (Beth Musich, Account Manager &amp; Jim Mansdorfer, Storage Engineering Manager)</w:t>
      </w:r>
    </w:p>
    <w:p>
      <w:pPr>
        <w:pStyle w:val="Normal"/>
        <w:numPr>
          <w:ilvl w:val="1"/>
          <w:numId w:val="4"/>
        </w:numPr>
        <w:rPr/>
      </w:pPr>
      <w:r>
        <w:rPr/>
        <w:t>Socal has released their system study (Beth was lead on study)</w:t>
      </w:r>
    </w:p>
    <w:p>
      <w:pPr>
        <w:pStyle w:val="Normal"/>
        <w:numPr>
          <w:ilvl w:val="1"/>
          <w:numId w:val="4"/>
        </w:numPr>
        <w:rPr/>
      </w:pPr>
      <w:r>
        <w:rPr/>
        <w:t>3 recommended entry points:  Los Angeles (Long Beach) Harbor, Ormond Beach in Ventura County, and Otay Mesa Border Crossing South of San Diego</w:t>
      </w:r>
    </w:p>
    <w:p>
      <w:pPr>
        <w:pStyle w:val="Normal"/>
        <w:numPr>
          <w:ilvl w:val="1"/>
          <w:numId w:val="4"/>
        </w:numPr>
        <w:rPr/>
      </w:pPr>
      <w:r>
        <w:rPr/>
        <w:t>Long Beach Harbor has ability to accept 600 to 1200 MMcfd and will require only 4 miles of onshore pipeline.</w:t>
      </w:r>
    </w:p>
    <w:p>
      <w:pPr>
        <w:pStyle w:val="Normal"/>
        <w:numPr>
          <w:ilvl w:val="1"/>
          <w:numId w:val="4"/>
        </w:numPr>
        <w:rPr/>
      </w:pPr>
      <w:r>
        <w:rPr/>
        <w:t>Ormond beach deliveries will be limited by seasonal gas load, will require more onshore facilities and will require storage to handle swing</w:t>
      </w:r>
    </w:p>
    <w:p>
      <w:pPr>
        <w:pStyle w:val="Normal"/>
        <w:numPr>
          <w:ilvl w:val="1"/>
          <w:numId w:val="4"/>
        </w:numPr>
        <w:rPr/>
      </w:pPr>
      <w:r>
        <w:rPr/>
        <w:t>The Otay Mesa Border Crossing will require a significant pipeline from the coast to the inland point (no estimate on cost), plus new SDG&amp;E facilities to handle volumes in excess of 200 MMcfd.  SDG&amp;E has not storage, so intermittent deliveries may be problematic</w:t>
      </w:r>
    </w:p>
    <w:p>
      <w:pPr>
        <w:pStyle w:val="Normal"/>
        <w:numPr>
          <w:ilvl w:val="1"/>
          <w:numId w:val="4"/>
        </w:numPr>
        <w:rPr>
          <w:b/>
          <w:bCs/>
        </w:rPr>
      </w:pPr>
      <w:r>
        <w:rPr/>
        <w:t xml:space="preserve">Socal expects project proponents to pay for all onshore facilities, but Socal will own and operate these facilities – </w:t>
      </w:r>
      <w:r>
        <w:rPr>
          <w:b/>
          <w:bCs/>
        </w:rPr>
        <w:t>logic is that Socal does not believe the new capacity is required, they are implementing only minor system enhancements designed to add less than 200 MMcfd to their throughput capability</w:t>
      </w:r>
    </w:p>
    <w:p>
      <w:pPr>
        <w:pStyle w:val="Normal"/>
        <w:numPr>
          <w:ilvl w:val="1"/>
          <w:numId w:val="4"/>
        </w:numPr>
        <w:rPr/>
      </w:pPr>
      <w:r>
        <w:rPr/>
        <w:t xml:space="preserve">Socal can handle an intermittent supply of say a cycle of 500 MMcfd for 6 days and no volumes for 10 days,  – at Long Beach.  </w:t>
      </w:r>
    </w:p>
    <w:p>
      <w:pPr>
        <w:pStyle w:val="Normal"/>
        <w:numPr>
          <w:ilvl w:val="1"/>
          <w:numId w:val="4"/>
        </w:numPr>
        <w:rPr/>
      </w:pPr>
      <w:r>
        <w:rPr/>
        <w:t>Socal has the ability to custom design storage services and can negotiate rates for the service; this could be used in conjunction with an intermittent service</w:t>
      </w:r>
    </w:p>
    <w:p>
      <w:pPr>
        <w:pStyle w:val="Normal"/>
        <w:numPr>
          <w:ilvl w:val="1"/>
          <w:numId w:val="4"/>
        </w:numPr>
        <w:rPr/>
      </w:pPr>
      <w:r>
        <w:rPr/>
        <w:t>Socal felt they could permit and install the onshore facilities in 18 months</w:t>
      </w:r>
    </w:p>
    <w:p>
      <w:pPr>
        <w:pStyle w:val="Normal"/>
        <w:numPr>
          <w:ilvl w:val="1"/>
          <w:numId w:val="4"/>
        </w:numPr>
        <w:rPr/>
      </w:pPr>
      <w:r>
        <w:rPr/>
        <w:t>Socal gave us names for Socal gas buyers</w:t>
      </w:r>
    </w:p>
    <w:p>
      <w:pPr>
        <w:pStyle w:val="Normal"/>
        <w:numPr>
          <w:ilvl w:val="1"/>
          <w:numId w:val="4"/>
        </w:numPr>
        <w:rPr/>
      </w:pPr>
      <w:r>
        <w:rPr/>
        <w:t>Beth will set up meetings for us with Storage commercial representatives at the appropriate time</w:t>
      </w:r>
    </w:p>
    <w:p>
      <w:pPr>
        <w:pStyle w:val="Normal"/>
        <w:numPr>
          <w:ilvl w:val="1"/>
          <w:numId w:val="4"/>
        </w:numPr>
        <w:rPr/>
      </w:pPr>
      <w:r>
        <w:rPr/>
        <w:t xml:space="preserve">Socal’s current storage levels are very low; regardless, Socal believes it has sufficient supply and capacity such that it will be able to serve both its core and non-core customers </w:t>
      </w:r>
    </w:p>
    <w:p>
      <w:pPr>
        <w:pStyle w:val="Normal"/>
        <w:rPr/>
      </w:pPr>
      <w:r>
        <w:rPr/>
      </w:r>
    </w:p>
    <w:p>
      <w:pPr>
        <w:pStyle w:val="Normal"/>
        <w:numPr>
          <w:ilvl w:val="0"/>
          <w:numId w:val="4"/>
        </w:numPr>
        <w:rPr/>
      </w:pPr>
      <w:r>
        <w:rPr/>
        <w:t>Field Trips  - Enron Engineering team</w:t>
      </w:r>
    </w:p>
    <w:p>
      <w:pPr>
        <w:pStyle w:val="Normal"/>
        <w:numPr>
          <w:ilvl w:val="0"/>
          <w:numId w:val="7"/>
        </w:numPr>
        <w:rPr/>
      </w:pPr>
      <w:r>
        <w:rPr/>
        <w:t>Looked at landing points from Fort Pendleton to Santa Barbara</w:t>
      </w:r>
    </w:p>
    <w:p>
      <w:pPr>
        <w:pStyle w:val="Normal"/>
        <w:numPr>
          <w:ilvl w:val="0"/>
          <w:numId w:val="7"/>
        </w:numPr>
        <w:rPr/>
      </w:pPr>
      <w:r>
        <w:rPr/>
        <w:t>Possible landing points between Seal Beach and Huntington Beach, Long Beach, Ormond Beach and Camp Pendleton</w:t>
      </w:r>
    </w:p>
    <w:p>
      <w:pPr>
        <w:pStyle w:val="Normal"/>
        <w:numPr>
          <w:ilvl w:val="1"/>
          <w:numId w:val="7"/>
        </w:numPr>
        <w:rPr/>
      </w:pPr>
      <w:r>
        <w:rPr/>
        <w:t>Large Reliant Power plant (750x2) at Ormond Beach</w:t>
      </w:r>
    </w:p>
    <w:p>
      <w:pPr>
        <w:pStyle w:val="Normal"/>
        <w:numPr>
          <w:ilvl w:val="1"/>
          <w:numId w:val="7"/>
        </w:numPr>
        <w:rPr/>
      </w:pPr>
      <w:r>
        <w:rPr/>
        <w:t>Heavy industrial and power plant concentration at Long Beach</w:t>
      </w:r>
    </w:p>
    <w:p>
      <w:pPr>
        <w:pStyle w:val="Normal"/>
        <w:numPr>
          <w:ilvl w:val="1"/>
          <w:numId w:val="7"/>
        </w:numPr>
        <w:rPr/>
      </w:pPr>
      <w:r>
        <w:rPr/>
        <w:t>Producing Oil field and smaller power plant south of Seal Beach</w:t>
      </w:r>
    </w:p>
    <w:p>
      <w:pPr>
        <w:pStyle w:val="Normal"/>
        <w:numPr>
          <w:ilvl w:val="1"/>
          <w:numId w:val="7"/>
        </w:numPr>
        <w:rPr/>
      </w:pPr>
      <w:r>
        <w:rPr/>
        <w:t>Existing nuclear power plant at power line ROW at north end of camp Pendleton</w:t>
      </w:r>
    </w:p>
    <w:p>
      <w:pPr>
        <w:pStyle w:val="Normal"/>
        <w:rPr/>
      </w:pPr>
      <w:r>
        <w:rPr/>
      </w:r>
    </w:p>
    <w:p>
      <w:pPr>
        <w:pStyle w:val="Normal"/>
        <w:numPr>
          <w:ilvl w:val="0"/>
          <w:numId w:val="4"/>
        </w:numPr>
        <w:rPr/>
      </w:pPr>
      <w:r>
        <w:rPr/>
        <w:t>Meeting with Pacific Gas &amp; Electric Company (Rod Boschee, Storage, Michael E. O’Donnell, Gas Control, and Gary ___, System Design)</w:t>
      </w:r>
    </w:p>
    <w:p>
      <w:pPr>
        <w:pStyle w:val="Normal"/>
        <w:numPr>
          <w:ilvl w:val="0"/>
          <w:numId w:val="5"/>
        </w:numPr>
        <w:rPr/>
      </w:pPr>
      <w:r>
        <w:rPr/>
        <w:t>Like Socal, PG&amp;E believes their system is sufficient to handle their gas delivery requirements; however, in discussions the gentlemen did state that trunk expansions will be required in the future</w:t>
      </w:r>
    </w:p>
    <w:p>
      <w:pPr>
        <w:pStyle w:val="Normal"/>
        <w:numPr>
          <w:ilvl w:val="0"/>
          <w:numId w:val="5"/>
        </w:numPr>
        <w:rPr/>
      </w:pPr>
      <w:r>
        <w:rPr/>
        <w:t>They suggested 4 preferred locations for landing LNG; Morrow Bay, just north of the Socal distribution system where they serve an 800 MW power plant operated by Duke Energy.  A long lateral serves the power plant, but is capable of delivering only about 100 MMcfd; Moss Landing south of Santa Cruz in the Monterey Bay – Duke has a 250x2 power plant and is expanding the facility – the area is served by 30” pipelines, so take away capacity will be okay; Eureka, CA, near the Oregon border – another long (small) lateral over mountainous terrain serves this coastal market – PG&amp;E still operates an old 100 MW power plant at Eureka and would like to have an alternate supply; San Francisco Bay – near Compton(?) – area is heavily industrialized with several existing an planned power plants – will require bringing LNG vessels far into the bay!</w:t>
      </w:r>
    </w:p>
    <w:p>
      <w:pPr>
        <w:pStyle w:val="Normal"/>
        <w:numPr>
          <w:ilvl w:val="0"/>
          <w:numId w:val="5"/>
        </w:numPr>
        <w:rPr/>
      </w:pPr>
      <w:r>
        <w:rPr/>
        <w:t>PG&amp;E has a 990 to 1050 Btu spec – the spec is explained in Rule 21 which is available on their web site; suggest we can get good maps through triple A (AAA) – “</w:t>
      </w:r>
      <w:r>
        <w:rPr>
          <w:b/>
          <w:bCs/>
        </w:rPr>
        <w:t>Ports of LA</w:t>
      </w:r>
      <w:r>
        <w:rPr/>
        <w:t>”</w:t>
      </w:r>
    </w:p>
    <w:p>
      <w:pPr>
        <w:pStyle w:val="Normal"/>
        <w:numPr>
          <w:ilvl w:val="0"/>
          <w:numId w:val="5"/>
        </w:numPr>
        <w:rPr/>
      </w:pPr>
      <w:r>
        <w:rPr/>
        <w:t>Rod is willing to help set up meetings for us with the appropriate personnel as we proceed.</w:t>
      </w:r>
    </w:p>
    <w:p>
      <w:pPr>
        <w:pStyle w:val="Normal"/>
        <w:rPr/>
      </w:pPr>
      <w:r>
        <w:rPr/>
      </w:r>
    </w:p>
    <w:p>
      <w:pPr>
        <w:pStyle w:val="Normal"/>
        <w:numPr>
          <w:ilvl w:val="0"/>
          <w:numId w:val="4"/>
        </w:numPr>
        <w:rPr/>
      </w:pPr>
      <w:r>
        <w:rPr/>
        <w:t>Meetings with Enron North America – San Francisco</w:t>
      </w:r>
    </w:p>
    <w:p>
      <w:pPr>
        <w:pStyle w:val="Normal"/>
        <w:numPr>
          <w:ilvl w:val="0"/>
          <w:numId w:val="6"/>
        </w:numPr>
        <w:rPr/>
      </w:pPr>
      <w:r>
        <w:rPr/>
        <w:t>Dave Parquet, Vice President &amp; Sam Wehn, Director of Enron’s power development efforts in California meet with us for 3 hours to explain their power plant permitting efforts and to introduce us to URS Corporation (Tim Cohen, Vice President &amp; Robert Ray, Sr. Project Manager), the firm they’ve used to permit all their plants, and Allan Thompson, a local attorney who has worked for ENA as a consultant</w:t>
      </w:r>
    </w:p>
    <w:p>
      <w:pPr>
        <w:pStyle w:val="Normal"/>
        <w:numPr>
          <w:ilvl w:val="0"/>
          <w:numId w:val="6"/>
        </w:numPr>
        <w:rPr/>
      </w:pPr>
      <w:r>
        <w:rPr/>
        <w:t>Tim Cohen suggested a possible permitting timeline that started in 2001 and ended in 4Q/2004.  The timeline is as follows</w:t>
      </w:r>
    </w:p>
    <w:p>
      <w:pPr>
        <w:pStyle w:val="Normal"/>
        <w:numPr>
          <w:ilvl w:val="1"/>
          <w:numId w:val="6"/>
        </w:numPr>
        <w:rPr/>
      </w:pPr>
      <w:r>
        <w:rPr/>
        <w:t>3-Months to prepare a Definition – put hard lines on a map, identify shipping lanes, prepare a political review and get necessary inputs from Socal</w:t>
      </w:r>
    </w:p>
    <w:p>
      <w:pPr>
        <w:pStyle w:val="Normal"/>
        <w:numPr>
          <w:ilvl w:val="1"/>
          <w:numId w:val="6"/>
        </w:numPr>
        <w:rPr/>
      </w:pPr>
      <w:r>
        <w:rPr/>
        <w:t>3-4 months of Agency coordination – identify and talk to various agencies to determine their requirements and to determine (try to influence) which agency will take the lead; prepare Permit Reconnaissance and Assessment Plan</w:t>
      </w:r>
    </w:p>
    <w:p>
      <w:pPr>
        <w:pStyle w:val="Normal"/>
        <w:numPr>
          <w:ilvl w:val="1"/>
          <w:numId w:val="6"/>
        </w:numPr>
        <w:rPr/>
      </w:pPr>
      <w:r>
        <w:rPr/>
        <w:t>File Key Applications – 1</w:t>
      </w:r>
      <w:r>
        <w:rPr>
          <w:vertAlign w:val="superscript"/>
        </w:rPr>
        <w:t>st</w:t>
      </w:r>
      <w:r>
        <w:rPr/>
        <w:t xml:space="preserve"> Quarter 2002</w:t>
      </w:r>
    </w:p>
    <w:p>
      <w:pPr>
        <w:pStyle w:val="Normal"/>
        <w:numPr>
          <w:ilvl w:val="1"/>
          <w:numId w:val="6"/>
        </w:numPr>
        <w:rPr/>
      </w:pPr>
      <w:r>
        <w:rPr/>
        <w:t>Lead Agency runs RFP and selects their consultant – 2</w:t>
      </w:r>
      <w:r>
        <w:rPr>
          <w:vertAlign w:val="superscript"/>
        </w:rPr>
        <w:t>nd</w:t>
      </w:r>
      <w:r>
        <w:rPr/>
        <w:t xml:space="preserve"> Quarter 2002</w:t>
      </w:r>
    </w:p>
    <w:p>
      <w:pPr>
        <w:pStyle w:val="Normal"/>
        <w:numPr>
          <w:ilvl w:val="1"/>
          <w:numId w:val="6"/>
        </w:numPr>
        <w:rPr/>
      </w:pPr>
      <w:r>
        <w:rPr/>
        <w:t>End of NEPA/CEQA review process – end 2</w:t>
      </w:r>
      <w:r>
        <w:rPr>
          <w:vertAlign w:val="superscript"/>
        </w:rPr>
        <w:t>nd</w:t>
      </w:r>
      <w:r>
        <w:rPr/>
        <w:t xml:space="preserve"> Quarter 2003</w:t>
      </w:r>
    </w:p>
    <w:p>
      <w:pPr>
        <w:pStyle w:val="Normal"/>
        <w:numPr>
          <w:ilvl w:val="1"/>
          <w:numId w:val="6"/>
        </w:numPr>
        <w:rPr/>
      </w:pPr>
      <w:r>
        <w:rPr/>
        <w:t>Issue Permits, with conditions – 4</w:t>
      </w:r>
      <w:r>
        <w:rPr>
          <w:vertAlign w:val="superscript"/>
        </w:rPr>
        <w:t>th</w:t>
      </w:r>
      <w:r>
        <w:rPr/>
        <w:t xml:space="preserve"> Quarter 2003</w:t>
      </w:r>
    </w:p>
    <w:p>
      <w:pPr>
        <w:pStyle w:val="Normal"/>
        <w:numPr>
          <w:ilvl w:val="1"/>
          <w:numId w:val="6"/>
        </w:numPr>
        <w:rPr/>
      </w:pPr>
      <w:r>
        <w:rPr/>
        <w:t>Satisfy all conditions and commence construction – 4</w:t>
      </w:r>
      <w:r>
        <w:rPr>
          <w:vertAlign w:val="superscript"/>
        </w:rPr>
        <w:t>th</w:t>
      </w:r>
      <w:r>
        <w:rPr/>
        <w:t xml:space="preserve"> Quarter 2004</w:t>
      </w:r>
    </w:p>
    <w:p>
      <w:pPr>
        <w:pStyle w:val="Normal"/>
        <w:numPr>
          <w:ilvl w:val="0"/>
          <w:numId w:val="6"/>
        </w:numPr>
        <w:rPr/>
      </w:pPr>
      <w:r>
        <w:rPr/>
        <w:t>When we said this was 1-year too late, Tim said the next step would be to start with our target date &amp; work backward to see what could be done to shorten the process</w:t>
      </w:r>
    </w:p>
    <w:p>
      <w:pPr>
        <w:pStyle w:val="Normal"/>
        <w:numPr>
          <w:ilvl w:val="1"/>
          <w:numId w:val="6"/>
        </w:numPr>
        <w:rPr/>
      </w:pPr>
      <w:r>
        <w:rPr/>
        <w:t>For example, if we can get the FERC to be the lead agency and given the crisis in CA, we may be able to get the FERC to single source their consultant, thus saving 3 to 6 months by eliminating the RFP process</w:t>
      </w:r>
    </w:p>
    <w:p>
      <w:pPr>
        <w:pStyle w:val="Normal"/>
        <w:numPr>
          <w:ilvl w:val="1"/>
          <w:numId w:val="6"/>
        </w:numPr>
        <w:rPr/>
      </w:pPr>
      <w:r>
        <w:rPr/>
        <w:t>Another way to minimize the timing is to work very closely with the lead agency and their consultant, so that we are ready to implement their compliance requirements once they issue the conditional permits.</w:t>
      </w:r>
    </w:p>
    <w:p>
      <w:pPr>
        <w:pStyle w:val="Normal"/>
        <w:numPr>
          <w:ilvl w:val="0"/>
          <w:numId w:val="6"/>
        </w:numPr>
        <w:rPr/>
      </w:pPr>
      <w:r>
        <w:rPr/>
        <w:t>Sam Wehn highly recommends URS to be our environmental and permitting firm; Sam advised that although the California process is rigorous, once in hand the permits are bankable.</w:t>
      </w:r>
    </w:p>
    <w:p>
      <w:pPr>
        <w:pStyle w:val="Normal"/>
        <w:numPr>
          <w:ilvl w:val="0"/>
          <w:numId w:val="6"/>
        </w:numPr>
        <w:rPr/>
      </w:pPr>
      <w:r>
        <w:rPr/>
        <w:t>ENA San Francisco has used legal out of Houston, who in turn have hired local counsel on an as needed basis</w:t>
      </w:r>
    </w:p>
    <w:p>
      <w:pPr>
        <w:pStyle w:val="Normal"/>
        <w:numPr>
          <w:ilvl w:val="0"/>
          <w:numId w:val="6"/>
        </w:numPr>
        <w:rPr/>
      </w:pPr>
      <w:r>
        <w:rPr/>
        <w:t>Meetings with Jeff Dasovich, Sr. Director, Governmental Affairs and Sandi McCubbin, Sr. Director, Legislative Affairs</w:t>
      </w:r>
    </w:p>
    <w:p>
      <w:pPr>
        <w:pStyle w:val="Normal"/>
        <w:numPr>
          <w:ilvl w:val="1"/>
          <w:numId w:val="6"/>
        </w:numPr>
        <w:rPr/>
      </w:pPr>
      <w:r>
        <w:rPr/>
        <w:t>Jeff and Sandi are willing to help us as needed</w:t>
      </w:r>
    </w:p>
    <w:p>
      <w:pPr>
        <w:pStyle w:val="Normal"/>
        <w:numPr>
          <w:ilvl w:val="1"/>
          <w:numId w:val="6"/>
        </w:numPr>
        <w:rPr/>
      </w:pPr>
      <w:r>
        <w:rPr/>
        <w:t>Sandi asked us to send the Methane Spec information to her and Mary Schoen and they will check with the California Air Resources Board (CARB) to check the status of the Methane # review</w:t>
      </w:r>
    </w:p>
    <w:p>
      <w:pPr>
        <w:pStyle w:val="Normal"/>
        <w:numPr>
          <w:ilvl w:val="1"/>
          <w:numId w:val="6"/>
        </w:numPr>
        <w:rPr/>
      </w:pPr>
      <w:r>
        <w:rPr/>
        <w:t>Jeff advised getting project carefully blessed in Houston before we announce anything in California – Dave Parquet concurs with this in that anything we do (or fail to do), can and will have an impact on other Enron activities</w:t>
      </w:r>
    </w:p>
    <w:p>
      <w:pPr>
        <w:pStyle w:val="Normal"/>
        <w:numPr>
          <w:ilvl w:val="1"/>
          <w:numId w:val="6"/>
        </w:numPr>
        <w:rPr/>
      </w:pPr>
      <w:r>
        <w:rPr/>
        <w:t>We promised to keep Dave Parquet informed of our efforts/actions in California</w:t>
      </w:r>
    </w:p>
    <w:p>
      <w:pPr>
        <w:pStyle w:val="Normal"/>
        <w:rPr/>
      </w:pPr>
      <w:r>
        <w:rPr/>
      </w:r>
    </w:p>
    <w:p>
      <w:pPr>
        <w:pStyle w:val="Normal"/>
        <w:numPr>
          <w:ilvl w:val="0"/>
          <w:numId w:val="4"/>
        </w:numPr>
        <w:rPr/>
      </w:pPr>
      <w:r>
        <w:rPr/>
        <w:t>LNG Supply Activities</w:t>
      </w:r>
    </w:p>
    <w:p>
      <w:pPr>
        <w:pStyle w:val="Normal"/>
        <w:numPr>
          <w:ilvl w:val="0"/>
          <w:numId w:val="3"/>
        </w:numPr>
        <w:rPr/>
      </w:pPr>
      <w:r>
        <w:rPr/>
        <w:t>VV Rao reported that TIGA has been approached by other Shell and Sempra; TIGA will choose the company that has the best project</w:t>
      </w:r>
    </w:p>
    <w:p>
      <w:pPr>
        <w:pStyle w:val="Normal"/>
        <w:numPr>
          <w:ilvl w:val="0"/>
          <w:numId w:val="3"/>
        </w:numPr>
        <w:rPr/>
      </w:pPr>
      <w:r>
        <w:rPr/>
        <w:t>Meetings have been set up next week at LNG 13 in Korea with senior levels at TIGA and Sempra</w:t>
      </w:r>
    </w:p>
    <w:p>
      <w:pPr>
        <w:pStyle w:val="Normal"/>
        <w:numPr>
          <w:ilvl w:val="0"/>
          <w:numId w:val="3"/>
        </w:numPr>
        <w:rPr/>
      </w:pPr>
      <w:r>
        <w:rPr/>
        <w:t>Need to show both companies that we can bring value to them</w:t>
      </w:r>
    </w:p>
    <w:p>
      <w:pPr>
        <w:pStyle w:val="Normal"/>
        <w:numPr>
          <w:ilvl w:val="1"/>
          <w:numId w:val="3"/>
        </w:numPr>
        <w:rPr/>
      </w:pPr>
      <w:r>
        <w:rPr/>
        <w:t>TIGA – that we are moving rapidly to permit sites and commit capital to regas terminal</w:t>
      </w:r>
    </w:p>
    <w:p>
      <w:pPr>
        <w:pStyle w:val="Normal"/>
        <w:numPr>
          <w:ilvl w:val="1"/>
          <w:numId w:val="3"/>
        </w:numPr>
        <w:rPr/>
      </w:pPr>
      <w:r>
        <w:rPr/>
        <w:t>SEMPRA – that we are experienced, can bring supply, ships, and marketing expertise to allow them to get to market quickly; let’s them get into LNG business quickly with an experienced partner who can introduce them to business opportunities elsewhere</w:t>
      </w:r>
    </w:p>
    <w:p>
      <w:pPr>
        <w:pStyle w:val="Normal"/>
        <w:numPr>
          <w:ilvl w:val="0"/>
          <w:numId w:val="3"/>
        </w:numPr>
        <w:rPr/>
      </w:pPr>
      <w:r>
        <w:rPr/>
        <w:t>Follow up meetings will be scheduled with working levels of Sempra and TIGA ASAP</w:t>
      </w:r>
    </w:p>
    <w:p>
      <w:pPr>
        <w:pStyle w:val="Normal"/>
        <w:rPr/>
      </w:pPr>
      <w:r>
        <w:rPr/>
      </w:r>
    </w:p>
    <w:p>
      <w:pPr>
        <w:pStyle w:val="Normal"/>
        <w:numPr>
          <w:ilvl w:val="0"/>
          <w:numId w:val="4"/>
        </w:numPr>
        <w:rPr/>
      </w:pPr>
      <w:r>
        <w:rPr/>
        <w:t>Strategy considerations</w:t>
      </w:r>
    </w:p>
    <w:p>
      <w:pPr>
        <w:pStyle w:val="Normal"/>
        <w:numPr>
          <w:ilvl w:val="0"/>
          <w:numId w:val="8"/>
        </w:numPr>
        <w:rPr/>
      </w:pPr>
      <w:r>
        <w:rPr/>
        <w:t>If it takes 28 months to obtain permits, and another 12 months to satisfy permit conditions, then our competitors in California will be faced with the same obstacles.</w:t>
      </w:r>
    </w:p>
    <w:p>
      <w:pPr>
        <w:pStyle w:val="Normal"/>
        <w:numPr>
          <w:ilvl w:val="0"/>
          <w:numId w:val="8"/>
        </w:numPr>
        <w:rPr/>
      </w:pPr>
      <w:r>
        <w:rPr/>
        <w:t>If competitors are planning a $350 million floating terminal, then can we assume that they will not be able to achieve financial close until permit conditions are satisfied, 40 months from day 1??</w:t>
      </w:r>
    </w:p>
    <w:p>
      <w:pPr>
        <w:pStyle w:val="Normal"/>
        <w:numPr>
          <w:ilvl w:val="0"/>
          <w:numId w:val="8"/>
        </w:numPr>
        <w:rPr/>
      </w:pPr>
      <w:r>
        <w:rPr/>
        <w:t>Will competitors be willing to put $350 million on balance sheet prior to completion of the permit approval process?  If not, then competitors will likely not be able to deliver LNG to CA until, 4</w:t>
      </w:r>
      <w:r>
        <w:rPr>
          <w:vertAlign w:val="superscript"/>
        </w:rPr>
        <w:t>th</w:t>
      </w:r>
      <w:r>
        <w:rPr/>
        <w:t xml:space="preserve"> Quarter 2007, 2004 +3 years to construct.  If they commenced construction after conditional permits were completed, they might be able to reduce the time frame by 1-year.</w:t>
      </w:r>
    </w:p>
    <w:p>
      <w:pPr>
        <w:pStyle w:val="Normal"/>
        <w:numPr>
          <w:ilvl w:val="0"/>
          <w:numId w:val="8"/>
        </w:numPr>
        <w:rPr/>
      </w:pPr>
      <w:r>
        <w:rPr/>
        <w:t>Conversely, someone willing to risk $100 million for a FRU could commence construction after permits achieved (4</w:t>
      </w:r>
      <w:r>
        <w:rPr>
          <w:vertAlign w:val="superscript"/>
        </w:rPr>
        <w:t>th</w:t>
      </w:r>
      <w:r>
        <w:rPr/>
        <w:t xml:space="preserve"> Q, 2003) and have FRU available for service in the 1</w:t>
      </w:r>
      <w:r>
        <w:rPr>
          <w:vertAlign w:val="superscript"/>
        </w:rPr>
        <w:t>st</w:t>
      </w:r>
      <w:r>
        <w:rPr/>
        <w:t xml:space="preserve"> Quarter 2005.  We may be able to compress this schedule by single sourcing consultants, or by ordering the FRU before the permits are achieved.  Our risk may be minimized by permitting multiple sites!</w:t>
      </w:r>
    </w:p>
    <w:p>
      <w:pPr>
        <w:pStyle w:val="Normal"/>
        <w:numPr>
          <w:ilvl w:val="0"/>
          <w:numId w:val="8"/>
        </w:numPr>
        <w:rPr/>
      </w:pPr>
      <w:r>
        <w:rPr/>
        <w:t>Mexico may be a faster option – need to check Mexican permitting timetable</w:t>
      </w:r>
    </w:p>
    <w:p>
      <w:pPr>
        <w:pStyle w:val="Normal"/>
        <w:rPr/>
      </w:pPr>
      <w:r>
        <w:rPr/>
      </w:r>
    </w:p>
    <w:p>
      <w:pPr>
        <w:pStyle w:val="Heading1"/>
        <w:ind w:hanging="0" w:start="0"/>
        <w:rPr/>
      </w:pPr>
      <w:r>
        <w:rPr/>
        <w:t>Action Items for Next Week</w:t>
      </w:r>
    </w:p>
    <w:p>
      <w:pPr>
        <w:pStyle w:val="Normal"/>
        <w:rPr>
          <w:b/>
          <w:bCs/>
          <w:u w:val="single"/>
        </w:rPr>
      </w:pPr>
      <w:r>
        <w:rPr>
          <w:b/>
          <w:bCs/>
          <w:u w:val="single"/>
        </w:rPr>
      </w:r>
    </w:p>
    <w:p>
      <w:pPr>
        <w:pStyle w:val="Normal"/>
        <w:numPr>
          <w:ilvl w:val="0"/>
          <w:numId w:val="2"/>
        </w:numPr>
        <w:rPr/>
      </w:pPr>
      <w:r>
        <w:rPr/>
        <w:t>Email to Sandi McCubbin and Mary Schoen regarding California Air Resources Board Methane Specification review.  Mike McGarry</w:t>
      </w:r>
    </w:p>
    <w:p>
      <w:pPr>
        <w:pStyle w:val="Normal"/>
        <w:numPr>
          <w:ilvl w:val="0"/>
          <w:numId w:val="2"/>
        </w:numPr>
        <w:rPr/>
      </w:pPr>
      <w:r>
        <w:rPr/>
        <w:t>Meeting with Gardere law firm to discuss Mexican permitting requirements, progress on California permit review, and legal issues surrounding import of LNG to California.  Kurt Lindahl</w:t>
      </w:r>
    </w:p>
    <w:p>
      <w:pPr>
        <w:pStyle w:val="Normal"/>
        <w:numPr>
          <w:ilvl w:val="0"/>
          <w:numId w:val="2"/>
        </w:numPr>
        <w:rPr/>
      </w:pPr>
      <w:r>
        <w:rPr/>
        <w:t>Contact Lisa Yoho and bring her up to date on project.  Kurt Lindahl</w:t>
      </w:r>
    </w:p>
    <w:p>
      <w:pPr>
        <w:pStyle w:val="Normal"/>
        <w:numPr>
          <w:ilvl w:val="0"/>
          <w:numId w:val="2"/>
        </w:numPr>
        <w:rPr/>
      </w:pPr>
      <w:r>
        <w:rPr/>
        <w:t>Complete review of Socal Storage tariff.  Robert Neustadter</w:t>
      </w:r>
    </w:p>
    <w:p>
      <w:pPr>
        <w:pStyle w:val="Normal"/>
        <w:numPr>
          <w:ilvl w:val="0"/>
          <w:numId w:val="2"/>
        </w:numPr>
        <w:rPr/>
      </w:pPr>
      <w:r>
        <w:rPr/>
        <w:t>Prepare scope of work for Merlin.  Mike McGarry</w:t>
      </w:r>
    </w:p>
    <w:p>
      <w:pPr>
        <w:pStyle w:val="Normal"/>
        <w:numPr>
          <w:ilvl w:val="0"/>
          <w:numId w:val="2"/>
        </w:numPr>
        <w:rPr/>
      </w:pPr>
      <w:r>
        <w:rPr/>
        <w:t>Commence effort to select FRU/FSRU anchorage sites.  Mike McGarry/Doug Cerbyk</w:t>
      </w:r>
    </w:p>
    <w:p>
      <w:pPr>
        <w:pStyle w:val="Normal"/>
        <w:numPr>
          <w:ilvl w:val="0"/>
          <w:numId w:val="2"/>
        </w:numPr>
        <w:rPr/>
      </w:pPr>
      <w:r>
        <w:rPr/>
        <w:t>Request permitting contact at Socal.  Mike McGarry</w:t>
      </w:r>
    </w:p>
    <w:p>
      <w:pPr>
        <w:pStyle w:val="Normal"/>
        <w:numPr>
          <w:ilvl w:val="0"/>
          <w:numId w:val="2"/>
        </w:numPr>
        <w:rPr/>
      </w:pPr>
      <w:r>
        <w:rPr/>
        <w:t>Meetings with Sempra &amp; TIGA in Korea.  Eric Gonzales, VV Rao, etc.</w:t>
      </w:r>
    </w:p>
    <w:p>
      <w:pPr>
        <w:pStyle w:val="Normal"/>
        <w:numPr>
          <w:ilvl w:val="0"/>
          <w:numId w:val="2"/>
        </w:numPr>
        <w:rPr/>
      </w:pPr>
      <w:r>
        <w:rPr/>
        <w:t>Initial contact with Socal gas acquisition personnel.  Eric Kaiser/Kurt Lindahl</w:t>
      </w:r>
    </w:p>
    <w:p>
      <w:pPr>
        <w:pStyle w:val="Normal"/>
        <w:numPr>
          <w:ilvl w:val="0"/>
          <w:numId w:val="2"/>
        </w:numPr>
        <w:rPr/>
      </w:pPr>
      <w:r>
        <w:rPr/>
        <w:t>Review of Hermosa Platform utilization – Small Ventures?  Les Webber/Kurt Lindahl/Mike McGarry</w:t>
      </w:r>
    </w:p>
    <w:p>
      <w:pPr>
        <w:pStyle w:val="Normal"/>
        <w:numPr>
          <w:ilvl w:val="0"/>
          <w:numId w:val="2"/>
        </w:numPr>
        <w:rPr/>
      </w:pPr>
      <w:r>
        <w:rPr/>
        <w:t>Obtain Ports of LA maps from AAA.  Mike McGarry</w:t>
      </w:r>
    </w:p>
    <w:p>
      <w:pPr>
        <w:pStyle w:val="Normal"/>
        <w:numPr>
          <w:ilvl w:val="0"/>
          <w:numId w:val="2"/>
        </w:numPr>
        <w:rPr/>
      </w:pPr>
      <w:r>
        <w:rPr/>
        <w:t>Prepare cost estimate for pipeline to Otay Mesa Border Crossing from Mexican coast.  Doug Cerbyk</w:t>
      </w:r>
    </w:p>
    <w:p>
      <w:pPr>
        <w:pStyle w:val="Normal"/>
        <w:numPr>
          <w:ilvl w:val="0"/>
          <w:numId w:val="2"/>
        </w:numPr>
        <w:rPr/>
      </w:pPr>
      <w:r>
        <w:rPr/>
        <w:t>Prepare plan for Mexican permitting review.  Kurt Lindahl</w:t>
      </w:r>
    </w:p>
    <w:p>
      <w:pPr>
        <w:pStyle w:val="Normal"/>
        <w:numPr>
          <w:ilvl w:val="0"/>
          <w:numId w:val="2"/>
        </w:numPr>
        <w:rPr/>
      </w:pPr>
      <w:r>
        <w:rPr/>
        <w:t>Complete first pass of project economic model.  Jody Crook</w:t>
      </w:r>
    </w:p>
    <w:p>
      <w:pPr>
        <w:pStyle w:val="Normal"/>
        <w:numPr>
          <w:ilvl w:val="0"/>
          <w:numId w:val="2"/>
        </w:numPr>
        <w:rPr/>
      </w:pPr>
      <w:r>
        <w:rPr/>
        <w:t>Commence review of requirements to waive Socal quality spec.  Mike McGarry</w:t>
      </w:r>
    </w:p>
    <w:p>
      <w:pPr>
        <w:pStyle w:val="Normal"/>
        <w:numPr>
          <w:ilvl w:val="0"/>
          <w:numId w:val="2"/>
        </w:numPr>
        <w:rPr/>
      </w:pPr>
      <w:r>
        <w:rPr/>
        <w:t>Obtain on-shore routing from Socal for suggested delivery points – Mike McGarry</w:t>
      </w:r>
    </w:p>
    <w:p>
      <w:pPr>
        <w:pStyle w:val="Normal"/>
        <w:numPr>
          <w:ilvl w:val="0"/>
          <w:numId w:val="2"/>
        </w:numPr>
        <w:rPr/>
      </w:pPr>
      <w:r>
        <w:rPr/>
        <w:t>Prepare FRU cash draw-down schedule and cancellation curves – Mike McGarry</w:t>
      </w:r>
    </w:p>
    <w:p>
      <w:pPr>
        <w:pStyle w:val="Normal"/>
        <w:rPr/>
      </w:pPr>
      <w:r>
        <w:rPr/>
      </w:r>
    </w:p>
    <w:p>
      <w:pPr>
        <w:pStyle w:val="Normal"/>
        <w:rPr/>
      </w:pPr>
      <w:r>
        <w:rPr/>
      </w:r>
    </w:p>
    <w:p>
      <w:pPr>
        <w:pStyle w:val="Normal"/>
        <w:rPr/>
      </w:pPr>
      <w:r>
        <w:rPr/>
      </w:r>
    </w:p>
    <w:p>
      <w:pPr>
        <w:pStyle w:val="Normal"/>
        <w:rPr/>
      </w:pPr>
      <w:r>
        <w:rPr/>
        <w:t>Global LNG</w:t>
      </w:r>
    </w:p>
    <w:p>
      <w:pPr>
        <w:pStyle w:val="Normal"/>
        <w:rPr/>
      </w:pPr>
      <w:r>
        <w:rPr/>
        <w:t>14 May 2001</w:t>
      </w:r>
    </w:p>
    <w:p>
      <w:pPr>
        <w:pStyle w:val="Normal"/>
        <w:rPr/>
      </w:pPr>
      <w:r>
        <w:rPr/>
        <w:t>KDL</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720"/>
        </w:tabs>
        <w:ind w:start="720" w:hanging="360"/>
      </w:pPr>
      <w:rPr>
        <w:rFonts w:ascii="Courier New" w:hAnsi="Courier New" w:cs="Courier New" w:hint="default"/>
      </w:rPr>
    </w:lvl>
  </w:abstractNum>
  <w:abstractNum w:abstractNumId="3">
    <w:lvl w:ilvl="0">
      <w:start w:val="1"/>
      <w:numFmt w:val="bullet"/>
      <w:lvlText w:val="o"/>
      <w:lvlJc w:val="start"/>
      <w:pPr>
        <w:tabs>
          <w:tab w:val="num" w:pos="1800"/>
        </w:tabs>
        <w:ind w:start="1800" w:hanging="360"/>
      </w:pPr>
      <w:rPr>
        <w:rFonts w:ascii="Courier New" w:hAnsi="Courier New" w:cs="Courier New" w:hint="default"/>
      </w:rPr>
    </w:lvl>
    <w:lvl w:ilvl="1">
      <w:start w:val="1"/>
      <w:numFmt w:val="bullet"/>
      <w:lvlText w:val="o"/>
      <w:lvlJc w:val="start"/>
      <w:pPr>
        <w:tabs>
          <w:tab w:val="num" w:pos="2520"/>
        </w:tabs>
        <w:ind w:start="2520" w:hanging="360"/>
      </w:pPr>
      <w:rPr>
        <w:rFonts w:ascii="Courier New" w:hAnsi="Courier New" w:cs="Courier New" w:hint="default"/>
      </w:rPr>
    </w:lvl>
    <w:lvl w:ilvl="2">
      <w:start w:val="1"/>
      <w:numFmt w:val="bullet"/>
      <w:lvlText w:val=""/>
      <w:lvlJc w:val="start"/>
      <w:pPr>
        <w:tabs>
          <w:tab w:val="num" w:pos="3240"/>
        </w:tabs>
        <w:ind w:start="3240" w:hanging="360"/>
      </w:pPr>
      <w:rPr>
        <w:rFonts w:ascii="Wingdings" w:hAnsi="Wingdings" w:cs="Wingdings" w:hint="default"/>
      </w:rPr>
    </w:lvl>
    <w:lvl w:ilvl="3">
      <w:start w:val="1"/>
      <w:numFmt w:val="bullet"/>
      <w:lvlText w:val=""/>
      <w:lvlJc w:val="start"/>
      <w:pPr>
        <w:tabs>
          <w:tab w:val="num" w:pos="3960"/>
        </w:tabs>
        <w:ind w:start="3960" w:hanging="360"/>
      </w:pPr>
      <w:rPr>
        <w:rFonts w:ascii="Symbol" w:hAnsi="Symbol" w:cs="Symbol" w:hint="default"/>
      </w:rPr>
    </w:lvl>
    <w:lvl w:ilvl="4">
      <w:start w:val="1"/>
      <w:numFmt w:val="bullet"/>
      <w:lvlText w:val="o"/>
      <w:lvlJc w:val="start"/>
      <w:pPr>
        <w:tabs>
          <w:tab w:val="num" w:pos="4680"/>
        </w:tabs>
        <w:ind w:start="4680" w:hanging="360"/>
      </w:pPr>
      <w:rPr>
        <w:rFonts w:ascii="Courier New" w:hAnsi="Courier New" w:cs="Courier New" w:hint="default"/>
      </w:rPr>
    </w:lvl>
    <w:lvl w:ilvl="5">
      <w:start w:val="1"/>
      <w:numFmt w:val="bullet"/>
      <w:lvlText w:val=""/>
      <w:lvlJc w:val="start"/>
      <w:pPr>
        <w:tabs>
          <w:tab w:val="num" w:pos="5400"/>
        </w:tabs>
        <w:ind w:start="5400" w:hanging="360"/>
      </w:pPr>
      <w:rPr>
        <w:rFonts w:ascii="Wingdings" w:hAnsi="Wingdings" w:cs="Wingdings" w:hint="default"/>
      </w:rPr>
    </w:lvl>
    <w:lvl w:ilvl="6">
      <w:start w:val="1"/>
      <w:numFmt w:val="bullet"/>
      <w:lvlText w:val=""/>
      <w:lvlJc w:val="start"/>
      <w:pPr>
        <w:tabs>
          <w:tab w:val="num" w:pos="6120"/>
        </w:tabs>
        <w:ind w:start="6120" w:hanging="360"/>
      </w:pPr>
      <w:rPr>
        <w:rFonts w:ascii="Symbol" w:hAnsi="Symbol" w:cs="Symbol" w:hint="default"/>
      </w:rPr>
    </w:lvl>
    <w:lvl w:ilvl="7">
      <w:start w:val="1"/>
      <w:numFmt w:val="bullet"/>
      <w:lvlText w:val="o"/>
      <w:lvlJc w:val="start"/>
      <w:pPr>
        <w:tabs>
          <w:tab w:val="num" w:pos="6840"/>
        </w:tabs>
        <w:ind w:start="6840" w:hanging="360"/>
      </w:pPr>
      <w:rPr>
        <w:rFonts w:ascii="Courier New" w:hAnsi="Courier New" w:cs="Courier New" w:hint="default"/>
      </w:rPr>
    </w:lvl>
    <w:lvl w:ilvl="8">
      <w:start w:val="1"/>
      <w:numFmt w:val="bullet"/>
      <w:lvlText w:val=""/>
      <w:lvlJc w:val="start"/>
      <w:pPr>
        <w:tabs>
          <w:tab w:val="num" w:pos="7560"/>
        </w:tabs>
        <w:ind w:start="7560" w:hanging="360"/>
      </w:pPr>
      <w:rPr>
        <w:rFonts w:ascii="Wingdings" w:hAnsi="Wingdings" w:cs="Wingdings" w:hint="default"/>
      </w:rPr>
    </w:lvl>
  </w:abstractNum>
  <w:abstractNum w:abstractNumId="4">
    <w:lvl w:ilvl="0">
      <w:start w:val="1"/>
      <w:numFmt w:val="decimal"/>
      <w:lvlText w:val="%1."/>
      <w:lvlJc w:val="start"/>
      <w:pPr>
        <w:tabs>
          <w:tab w:val="num" w:pos="1080"/>
        </w:tabs>
        <w:ind w:start="1080" w:hanging="360"/>
      </w:pPr>
    </w:lvl>
    <w:lvl w:ilvl="1">
      <w:start w:val="1"/>
      <w:numFmt w:val="bullet"/>
      <w:lvlText w:val=""/>
      <w:lvlJc w:val="start"/>
      <w:pPr>
        <w:tabs>
          <w:tab w:val="num" w:pos="1800"/>
        </w:tabs>
        <w:ind w:start="1800" w:hanging="360"/>
      </w:pPr>
      <w:rPr>
        <w:rFonts w:ascii="Symbol" w:hAnsi="Symbol" w:cs="Symbol" w:hint="default"/>
      </w:rPr>
    </w:lvl>
    <w:lvl w:ilvl="2">
      <w:start w:val="1"/>
      <w:numFmt w:val="upperLetter"/>
      <w:lvlText w:val="%3."/>
      <w:lvlJc w:val="start"/>
      <w:pPr>
        <w:tabs>
          <w:tab w:val="num" w:pos="2700"/>
        </w:tabs>
        <w:ind w:start="2700" w:hanging="360"/>
      </w:pPr>
      <w:r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5">
    <w:lvl w:ilvl="0">
      <w:start w:val="1"/>
      <w:numFmt w:val="bullet"/>
      <w:lvlText w:val=""/>
      <w:lvlJc w:val="start"/>
      <w:pPr>
        <w:tabs>
          <w:tab w:val="num" w:pos="1800"/>
        </w:tabs>
        <w:ind w:start="1800" w:hanging="360"/>
      </w:pPr>
      <w:rPr>
        <w:rFonts w:ascii="Symbol" w:hAnsi="Symbol" w:cs="Symbol" w:hint="default"/>
      </w:rPr>
    </w:lvl>
  </w:abstractNum>
  <w:abstractNum w:abstractNumId="6">
    <w:lvl w:ilvl="0">
      <w:start w:val="1"/>
      <w:numFmt w:val="bullet"/>
      <w:lvlText w:val=""/>
      <w:lvlJc w:val="start"/>
      <w:pPr>
        <w:tabs>
          <w:tab w:val="num" w:pos="1800"/>
        </w:tabs>
        <w:ind w:start="1800" w:hanging="360"/>
      </w:pPr>
      <w:rPr>
        <w:rFonts w:ascii="Symbol" w:hAnsi="Symbol" w:cs="Symbol" w:hint="default"/>
      </w:rPr>
    </w:lvl>
    <w:lvl w:ilvl="1">
      <w:start w:val="1"/>
      <w:numFmt w:val="bullet"/>
      <w:lvlText w:val="o"/>
      <w:lvlJc w:val="start"/>
      <w:pPr>
        <w:tabs>
          <w:tab w:val="num" w:pos="2520"/>
        </w:tabs>
        <w:ind w:start="2520" w:hanging="360"/>
      </w:pPr>
      <w:rPr>
        <w:rFonts w:ascii="Courier New" w:hAnsi="Courier New" w:cs="Courier New" w:hint="default"/>
      </w:rPr>
    </w:lvl>
    <w:lvl w:ilvl="2">
      <w:start w:val="1"/>
      <w:numFmt w:val="decimal"/>
      <w:lvlText w:val="%3."/>
      <w:lvlJc w:val="start"/>
      <w:pPr>
        <w:tabs>
          <w:tab w:val="num" w:pos="3240"/>
        </w:tabs>
        <w:ind w:start="3240" w:hanging="360"/>
      </w:pPr>
    </w:lvl>
    <w:lvl w:ilvl="3">
      <w:start w:val="1"/>
      <w:numFmt w:val="bullet"/>
      <w:lvlText w:val=""/>
      <w:lvlJc w:val="start"/>
      <w:pPr>
        <w:tabs>
          <w:tab w:val="num" w:pos="3960"/>
        </w:tabs>
        <w:ind w:start="3960" w:hanging="360"/>
      </w:pPr>
      <w:rPr>
        <w:rFonts w:ascii="Symbol" w:hAnsi="Symbol" w:cs="Symbol" w:hint="default"/>
      </w:rPr>
    </w:lvl>
    <w:lvl w:ilvl="4">
      <w:start w:val="1"/>
      <w:numFmt w:val="bullet"/>
      <w:lvlText w:val="o"/>
      <w:lvlJc w:val="start"/>
      <w:pPr>
        <w:tabs>
          <w:tab w:val="num" w:pos="4680"/>
        </w:tabs>
        <w:ind w:start="4680" w:hanging="360"/>
      </w:pPr>
      <w:rPr>
        <w:rFonts w:ascii="Courier New" w:hAnsi="Courier New" w:cs="Courier New" w:hint="default"/>
      </w:rPr>
    </w:lvl>
    <w:lvl w:ilvl="5">
      <w:start w:val="1"/>
      <w:numFmt w:val="bullet"/>
      <w:lvlText w:val=""/>
      <w:lvlJc w:val="start"/>
      <w:pPr>
        <w:tabs>
          <w:tab w:val="num" w:pos="5400"/>
        </w:tabs>
        <w:ind w:start="5400" w:hanging="360"/>
      </w:pPr>
      <w:rPr>
        <w:rFonts w:ascii="Wingdings" w:hAnsi="Wingdings" w:cs="Wingdings" w:hint="default"/>
      </w:rPr>
    </w:lvl>
    <w:lvl w:ilvl="6">
      <w:start w:val="1"/>
      <w:numFmt w:val="bullet"/>
      <w:lvlText w:val=""/>
      <w:lvlJc w:val="start"/>
      <w:pPr>
        <w:tabs>
          <w:tab w:val="num" w:pos="6120"/>
        </w:tabs>
        <w:ind w:start="6120" w:hanging="360"/>
      </w:pPr>
      <w:rPr>
        <w:rFonts w:ascii="Symbol" w:hAnsi="Symbol" w:cs="Symbol" w:hint="default"/>
      </w:rPr>
    </w:lvl>
    <w:lvl w:ilvl="7">
      <w:start w:val="1"/>
      <w:numFmt w:val="bullet"/>
      <w:lvlText w:val="o"/>
      <w:lvlJc w:val="start"/>
      <w:pPr>
        <w:tabs>
          <w:tab w:val="num" w:pos="6840"/>
        </w:tabs>
        <w:ind w:start="6840" w:hanging="360"/>
      </w:pPr>
      <w:rPr>
        <w:rFonts w:ascii="Courier New" w:hAnsi="Courier New" w:cs="Courier New" w:hint="default"/>
      </w:rPr>
    </w:lvl>
    <w:lvl w:ilvl="8">
      <w:start w:val="1"/>
      <w:numFmt w:val="bullet"/>
      <w:lvlText w:val=""/>
      <w:lvlJc w:val="start"/>
      <w:pPr>
        <w:tabs>
          <w:tab w:val="num" w:pos="7560"/>
        </w:tabs>
        <w:ind w:start="7560" w:hanging="360"/>
      </w:pPr>
      <w:rPr>
        <w:rFonts w:ascii="Wingdings" w:hAnsi="Wingdings" w:cs="Wingdings" w:hint="default"/>
      </w:rPr>
    </w:lvl>
  </w:abstractNum>
  <w:abstractNum w:abstractNumId="7">
    <w:lvl w:ilvl="0">
      <w:start w:val="1"/>
      <w:numFmt w:val="bullet"/>
      <w:lvlText w:val=""/>
      <w:lvlJc w:val="start"/>
      <w:pPr>
        <w:tabs>
          <w:tab w:val="num" w:pos="1800"/>
        </w:tabs>
        <w:ind w:start="1800" w:hanging="360"/>
      </w:pPr>
      <w:rPr>
        <w:rFonts w:ascii="Symbol" w:hAnsi="Symbol" w:cs="Symbol" w:hint="default"/>
      </w:rPr>
    </w:lvl>
    <w:lvl w:ilvl="1">
      <w:start w:val="1"/>
      <w:numFmt w:val="bullet"/>
      <w:lvlText w:val="o"/>
      <w:lvlJc w:val="start"/>
      <w:pPr>
        <w:tabs>
          <w:tab w:val="num" w:pos="2520"/>
        </w:tabs>
        <w:ind w:start="2520" w:hanging="360"/>
      </w:pPr>
      <w:rPr>
        <w:rFonts w:ascii="Courier New" w:hAnsi="Courier New" w:cs="Courier New" w:hint="default"/>
      </w:rPr>
    </w:lvl>
    <w:lvl w:ilvl="2">
      <w:start w:val="1"/>
      <w:numFmt w:val="bullet"/>
      <w:lvlText w:val=""/>
      <w:lvlJc w:val="start"/>
      <w:pPr>
        <w:tabs>
          <w:tab w:val="num" w:pos="3240"/>
        </w:tabs>
        <w:ind w:start="3240" w:hanging="360"/>
      </w:pPr>
      <w:rPr>
        <w:rFonts w:ascii="Symbol" w:hAnsi="Symbol" w:cs="Symbol" w:hint="default"/>
      </w:rPr>
    </w:lvl>
    <w:lvl w:ilvl="3">
      <w:start w:val="1"/>
      <w:numFmt w:val="bullet"/>
      <w:lvlText w:val=""/>
      <w:lvlJc w:val="start"/>
      <w:pPr>
        <w:tabs>
          <w:tab w:val="num" w:pos="3960"/>
        </w:tabs>
        <w:ind w:start="3960" w:hanging="360"/>
      </w:pPr>
      <w:rPr>
        <w:rFonts w:ascii="Symbol" w:hAnsi="Symbol" w:cs="Symbol" w:hint="default"/>
      </w:rPr>
    </w:lvl>
    <w:lvl w:ilvl="4">
      <w:start w:val="1"/>
      <w:numFmt w:val="bullet"/>
      <w:lvlText w:val="o"/>
      <w:lvlJc w:val="start"/>
      <w:pPr>
        <w:tabs>
          <w:tab w:val="num" w:pos="4680"/>
        </w:tabs>
        <w:ind w:start="4680" w:hanging="360"/>
      </w:pPr>
      <w:rPr>
        <w:rFonts w:ascii="Courier New" w:hAnsi="Courier New" w:cs="Courier New" w:hint="default"/>
      </w:rPr>
    </w:lvl>
    <w:lvl w:ilvl="5">
      <w:start w:val="1"/>
      <w:numFmt w:val="bullet"/>
      <w:lvlText w:val=""/>
      <w:lvlJc w:val="start"/>
      <w:pPr>
        <w:tabs>
          <w:tab w:val="num" w:pos="5400"/>
        </w:tabs>
        <w:ind w:start="5400" w:hanging="360"/>
      </w:pPr>
      <w:rPr>
        <w:rFonts w:ascii="Wingdings" w:hAnsi="Wingdings" w:cs="Wingdings" w:hint="default"/>
      </w:rPr>
    </w:lvl>
    <w:lvl w:ilvl="6">
      <w:start w:val="1"/>
      <w:numFmt w:val="bullet"/>
      <w:lvlText w:val=""/>
      <w:lvlJc w:val="start"/>
      <w:pPr>
        <w:tabs>
          <w:tab w:val="num" w:pos="6120"/>
        </w:tabs>
        <w:ind w:start="6120" w:hanging="360"/>
      </w:pPr>
      <w:rPr>
        <w:rFonts w:ascii="Symbol" w:hAnsi="Symbol" w:cs="Symbol" w:hint="default"/>
      </w:rPr>
    </w:lvl>
    <w:lvl w:ilvl="7">
      <w:start w:val="1"/>
      <w:numFmt w:val="bullet"/>
      <w:lvlText w:val="o"/>
      <w:lvlJc w:val="start"/>
      <w:pPr>
        <w:tabs>
          <w:tab w:val="num" w:pos="6840"/>
        </w:tabs>
        <w:ind w:start="6840" w:hanging="360"/>
      </w:pPr>
      <w:rPr>
        <w:rFonts w:ascii="Courier New" w:hAnsi="Courier New" w:cs="Courier New" w:hint="default"/>
      </w:rPr>
    </w:lvl>
    <w:lvl w:ilvl="8">
      <w:start w:val="1"/>
      <w:numFmt w:val="bullet"/>
      <w:lvlText w:val=""/>
      <w:lvlJc w:val="start"/>
      <w:pPr>
        <w:tabs>
          <w:tab w:val="num" w:pos="7560"/>
        </w:tabs>
        <w:ind w:start="7560" w:hanging="360"/>
      </w:pPr>
      <w:rPr>
        <w:rFonts w:ascii="Wingdings" w:hAnsi="Wingdings" w:cs="Wingdings" w:hint="default"/>
      </w:rPr>
    </w:lvl>
  </w:abstractNum>
  <w:abstractNum w:abstractNumId="8">
    <w:lvl w:ilvl="0">
      <w:start w:val="1"/>
      <w:numFmt w:val="bullet"/>
      <w:lvlText w:val="o"/>
      <w:lvlJc w:val="start"/>
      <w:pPr>
        <w:tabs>
          <w:tab w:val="num" w:pos="1800"/>
        </w:tabs>
        <w:ind w:start="1800" w:hanging="360"/>
      </w:pPr>
      <w:rPr>
        <w:rFonts w:ascii="Courier New" w:hAnsi="Courier New" w:cs="Courier New"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1z0">
    <w:name w:val="WW8Num1z0"/>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1">
    <w:name w:val="WW8Num10z1"/>
    <w:qFormat/>
    <w:rPr>
      <w:rFonts w:ascii="Symbol" w:hAnsi="Symbol" w:cs="Symbol"/>
    </w:rPr>
  </w:style>
  <w:style w:type="character" w:styleId="WW8Num11z0">
    <w:name w:val="WW8Num11z0"/>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1">
    <w:name w:val="WW8Num12z1"/>
    <w:qFormat/>
    <w:rPr>
      <w:rFonts w:ascii="Symbol" w:hAnsi="Symbol" w:cs="Symbol"/>
    </w:rPr>
  </w:style>
  <w:style w:type="character" w:styleId="WW8Num12z2">
    <w:name w:val="WW8Num12z2"/>
    <w:qForma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5">
    <w:name w:val="WW8Num15z5"/>
    <w:qFormat/>
    <w:rPr>
      <w:rFonts w:ascii="Wingdings" w:hAnsi="Wingdings" w:cs="Wingdings"/>
    </w:rPr>
  </w:style>
  <w:style w:type="character" w:styleId="WW8Num17z0">
    <w:name w:val="WW8Num17z0"/>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5">
    <w:name w:val="WW8Num21z5"/>
    <w:qFormat/>
    <w:rPr>
      <w:rFonts w:ascii="Wingdings" w:hAnsi="Wingdings" w:cs="Wingdings"/>
    </w:rPr>
  </w:style>
  <w:style w:type="character" w:styleId="WW8Num22z0">
    <w:name w:val="WW8Num22z0"/>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2001-05-13T14:20:00Z</dcterms:created>
  <dc:creator>klindah</dc:creator>
  <dc:description/>
  <dc:language>en-CA</dc:language>
  <cp:lastModifiedBy>klindah</cp:lastModifiedBy>
  <cp:lastPrinted>2001-05-14T09:40:00Z</cp:lastPrinted>
  <dcterms:modified xsi:type="dcterms:W3CDTF">2001-05-14T17:33:00Z</dcterms:modified>
  <cp:revision>5</cp:revision>
  <dc:subject/>
  <dc:title>Enron Global LNG – USA West Coast Project</dc:title>
</cp:coreProperties>
</file>