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Cs w:val="24"/>
          <w:lang w:val="en-CA" w:eastAsia="en-CA"/>
        </w:rPr>
      </w:pPr>
      <w:r>
        <w:rPr>
          <w:rFonts w:cs="Arial" w:ascii="Arial" w:hAnsi="Arial"/>
          <w:szCs w:val="24"/>
        </w:rPr>
        <mc:AlternateContent>
          <mc:Choice Requires="wps">
            <w:drawing>
              <wp:anchor behindDoc="0" distT="0" distB="0" distL="114935" distR="114935" simplePos="0" locked="0" layoutInCell="1" allowOverlap="1" relativeHeight="5">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rFonts w:cs="Arial" w:ascii="Arial" w:hAnsi="Arial"/>
          <w:szCs w:val="24"/>
        </w:rPr>
        <w:t>UNITED STATES OF AMERICA</w:t>
      </w:r>
    </w:p>
    <w:p>
      <w:pPr>
        <w:pStyle w:val="Center"/>
        <w:spacing w:before="0" w:after="0"/>
        <w:rPr>
          <w:rFonts w:ascii="Arial" w:hAnsi="Arial" w:cs="Arial"/>
          <w:szCs w:val="24"/>
        </w:rPr>
      </w:pPr>
      <w:r>
        <w:rPr>
          <w:rFonts w:cs="Arial" w:ascii="Arial" w:hAnsi="Arial"/>
          <w:szCs w:val="24"/>
        </w:rPr>
        <w:t>BEFORE THE</w:t>
      </w:r>
    </w:p>
    <w:p>
      <w:pPr>
        <w:pStyle w:val="Normal"/>
        <w:jc w:val="center"/>
        <w:rPr>
          <w:rFonts w:ascii="Arial" w:hAnsi="Arial" w:cs="Arial"/>
          <w:szCs w:val="24"/>
        </w:rPr>
      </w:pPr>
      <w:r>
        <w:rPr>
          <w:rFonts w:cs="Arial" w:ascii="Arial" w:hAnsi="Arial"/>
          <w:szCs w:val="24"/>
        </w:rPr>
        <w:t>FEDERAL ENERGY REGULATORY COMMISSION</w:t>
      </w:r>
    </w:p>
    <w:p>
      <w:pPr>
        <w:pStyle w:val="Normal"/>
        <w:rPr>
          <w:rFonts w:ascii="Arial" w:hAnsi="Arial" w:eastAsia="Arial" w:cs="Arial"/>
          <w:szCs w:val="24"/>
        </w:rPr>
      </w:pPr>
      <w:r>
        <w:rPr>
          <w:rFonts w:eastAsia="Arial" w:cs="Arial" w:ascii="Arial" w:hAnsi="Arial"/>
          <w:szCs w:val="24"/>
        </w:rPr>
        <w:t xml:space="preserve"> </w:t>
      </w:r>
    </w:p>
    <w:tbl>
      <w:tblPr>
        <w:tblW w:w="9576" w:type="dxa"/>
        <w:jc w:val="start"/>
        <w:tblInd w:w="0" w:type="dxa"/>
        <w:tblLayout w:type="fixed"/>
        <w:tblCellMar>
          <w:top w:w="0" w:type="dxa"/>
          <w:start w:w="108" w:type="dxa"/>
          <w:bottom w:w="0" w:type="dxa"/>
          <w:end w:w="108" w:type="dxa"/>
        </w:tblCellMar>
      </w:tblPr>
      <w:tblGrid>
        <w:gridCol w:w="5058"/>
        <w:gridCol w:w="720"/>
        <w:gridCol w:w="3798"/>
      </w:tblGrid>
      <w:tr>
        <w:trPr/>
        <w:tc>
          <w:tcPr>
            <w:tcW w:w="5058" w:type="dxa"/>
            <w:tcBorders>
              <w:top w:val="single" w:sz="4" w:space="0" w:color="000000"/>
            </w:tcBorders>
          </w:tcPr>
          <w:p>
            <w:pPr>
              <w:pStyle w:val="Normal"/>
              <w:snapToGrid w:val="false"/>
              <w:rPr>
                <w:rFonts w:ascii="Arial" w:hAnsi="Arial" w:cs="Arial"/>
                <w:szCs w:val="24"/>
              </w:rPr>
            </w:pPr>
            <w:r>
              <w:rPr>
                <w:rFonts w:cs="Arial" w:ascii="Arial" w:hAnsi="Arial"/>
                <w:szCs w:val="24"/>
              </w:rPr>
            </w:r>
          </w:p>
        </w:tc>
        <w:tc>
          <w:tcPr>
            <w:tcW w:w="720" w:type="dxa"/>
            <w:tcBorders/>
          </w:tcPr>
          <w:p>
            <w:pPr>
              <w:pStyle w:val="Normal"/>
              <w:rPr>
                <w:rFonts w:ascii="Arial" w:hAnsi="Arial" w:cs="Arial"/>
                <w:szCs w:val="24"/>
              </w:rPr>
            </w:pPr>
            <w:r>
              <w:rPr>
                <w:rFonts w:cs="Arial" w:ascii="Arial" w:hAnsi="Arial"/>
                <w:szCs w:val="24"/>
              </w:rPr>
              <w:t>)</w:t>
            </w:r>
          </w:p>
        </w:tc>
        <w:tc>
          <w:tcPr>
            <w:tcW w:w="3798" w:type="dxa"/>
            <w:tcBorders/>
          </w:tcPr>
          <w:p>
            <w:pPr>
              <w:pStyle w:val="Normal"/>
              <w:snapToGrid w:val="false"/>
              <w:rPr>
                <w:rFonts w:ascii="Arial" w:hAnsi="Arial" w:cs="Arial"/>
                <w:szCs w:val="24"/>
              </w:rPr>
            </w:pPr>
            <w:r>
              <w:rPr>
                <w:rFonts w:cs="Arial" w:ascii="Arial" w:hAnsi="Arial"/>
                <w:szCs w:val="24"/>
              </w:rPr>
            </w:r>
          </w:p>
        </w:tc>
      </w:tr>
      <w:tr>
        <w:trPr/>
        <w:tc>
          <w:tcPr>
            <w:tcW w:w="5058" w:type="dxa"/>
            <w:tcBorders/>
          </w:tcPr>
          <w:p>
            <w:pPr>
              <w:pStyle w:val="Normal"/>
              <w:rPr>
                <w:rFonts w:ascii="Arial" w:hAnsi="Arial" w:cs="Arial"/>
                <w:szCs w:val="24"/>
              </w:rPr>
            </w:pPr>
            <w:r>
              <w:rPr>
                <w:rFonts w:cs="Arial" w:ascii="Arial" w:hAnsi="Arial"/>
                <w:szCs w:val="24"/>
              </w:rPr>
              <w:t>Arizona Public Service Company</w:t>
            </w:r>
          </w:p>
        </w:tc>
        <w:tc>
          <w:tcPr>
            <w:tcW w:w="720" w:type="dxa"/>
            <w:tcBorders/>
          </w:tcPr>
          <w:p>
            <w:pPr>
              <w:pStyle w:val="Normal"/>
              <w:rPr>
                <w:rFonts w:ascii="Arial" w:hAnsi="Arial" w:cs="Arial"/>
                <w:szCs w:val="24"/>
              </w:rPr>
            </w:pPr>
            <w:r>
              <w:rPr>
                <w:rFonts w:cs="Arial" w:ascii="Arial" w:hAnsi="Arial"/>
                <w:szCs w:val="24"/>
              </w:rPr>
              <w:t>)</w:t>
            </w:r>
          </w:p>
        </w:tc>
        <w:tc>
          <w:tcPr>
            <w:tcW w:w="3798" w:type="dxa"/>
            <w:tcBorders/>
          </w:tcPr>
          <w:p>
            <w:pPr>
              <w:pStyle w:val="Normal"/>
              <w:snapToGrid w:val="false"/>
              <w:rPr>
                <w:rFonts w:ascii="Arial" w:hAnsi="Arial" w:cs="Arial"/>
                <w:szCs w:val="24"/>
              </w:rPr>
            </w:pPr>
            <w:r>
              <w:rPr>
                <w:rFonts w:cs="Arial" w:ascii="Arial" w:hAnsi="Arial"/>
                <w:szCs w:val="24"/>
              </w:rPr>
            </w:r>
          </w:p>
        </w:tc>
      </w:tr>
      <w:tr>
        <w:trPr>
          <w:trHeight w:val="252" w:hRule="atLeast"/>
        </w:trPr>
        <w:tc>
          <w:tcPr>
            <w:tcW w:w="5058" w:type="dxa"/>
            <w:tcBorders/>
          </w:tcPr>
          <w:p>
            <w:pPr>
              <w:pStyle w:val="Normal"/>
              <w:rPr>
                <w:rFonts w:ascii="Arial" w:hAnsi="Arial" w:cs="Arial"/>
                <w:szCs w:val="24"/>
              </w:rPr>
            </w:pPr>
            <w:r>
              <w:rPr>
                <w:rFonts w:cs="Arial" w:ascii="Arial" w:hAnsi="Arial"/>
                <w:szCs w:val="24"/>
              </w:rPr>
              <w:t>El Paso Electric Company</w:t>
            </w:r>
          </w:p>
        </w:tc>
        <w:tc>
          <w:tcPr>
            <w:tcW w:w="720" w:type="dxa"/>
            <w:tcBorders/>
          </w:tcPr>
          <w:p>
            <w:pPr>
              <w:pStyle w:val="Normal"/>
              <w:rPr>
                <w:rFonts w:ascii="Arial" w:hAnsi="Arial" w:cs="Arial"/>
                <w:szCs w:val="24"/>
              </w:rPr>
            </w:pPr>
            <w:r>
              <w:rPr>
                <w:rFonts w:cs="Arial" w:ascii="Arial" w:hAnsi="Arial"/>
                <w:szCs w:val="24"/>
              </w:rPr>
              <w:t>)</w:t>
            </w:r>
          </w:p>
        </w:tc>
        <w:tc>
          <w:tcPr>
            <w:tcW w:w="3798" w:type="dxa"/>
            <w:tcBorders/>
          </w:tcPr>
          <w:p>
            <w:pPr>
              <w:pStyle w:val="Normal"/>
              <w:rPr>
                <w:rFonts w:ascii="Arial" w:hAnsi="Arial" w:cs="Arial"/>
                <w:szCs w:val="24"/>
              </w:rPr>
            </w:pPr>
            <w:r>
              <w:rPr>
                <w:rFonts w:cs="Arial" w:ascii="Arial" w:hAnsi="Arial"/>
                <w:szCs w:val="24"/>
              </w:rPr>
              <w:t>Docket No. EL02-9-000</w:t>
            </w:r>
          </w:p>
        </w:tc>
      </w:tr>
      <w:tr>
        <w:trPr>
          <w:trHeight w:val="252" w:hRule="atLeast"/>
        </w:trPr>
        <w:tc>
          <w:tcPr>
            <w:tcW w:w="5058" w:type="dxa"/>
            <w:tcBorders/>
          </w:tcPr>
          <w:p>
            <w:pPr>
              <w:pStyle w:val="Normal"/>
              <w:rPr>
                <w:rFonts w:ascii="Arial" w:hAnsi="Arial" w:cs="Arial"/>
                <w:szCs w:val="24"/>
              </w:rPr>
            </w:pPr>
            <w:r>
              <w:rPr>
                <w:rFonts w:cs="Arial" w:ascii="Arial" w:hAnsi="Arial"/>
                <w:szCs w:val="24"/>
              </w:rPr>
              <w:t>Public Service Company of New Mexico</w:t>
            </w:r>
          </w:p>
        </w:tc>
        <w:tc>
          <w:tcPr>
            <w:tcW w:w="720" w:type="dxa"/>
            <w:tcBorders/>
          </w:tcPr>
          <w:p>
            <w:pPr>
              <w:pStyle w:val="Normal"/>
              <w:rPr>
                <w:rFonts w:ascii="Arial" w:hAnsi="Arial" w:cs="Arial"/>
                <w:szCs w:val="24"/>
              </w:rPr>
            </w:pPr>
            <w:r>
              <w:rPr>
                <w:rFonts w:cs="Arial" w:ascii="Arial" w:hAnsi="Arial"/>
                <w:szCs w:val="24"/>
              </w:rPr>
              <w:t>)</w:t>
            </w:r>
          </w:p>
        </w:tc>
        <w:tc>
          <w:tcPr>
            <w:tcW w:w="3798" w:type="dxa"/>
            <w:tcBorders/>
          </w:tcPr>
          <w:p>
            <w:pPr>
              <w:pStyle w:val="Normal"/>
              <w:rPr>
                <w:rFonts w:ascii="Arial" w:hAnsi="Arial" w:cs="Arial"/>
                <w:szCs w:val="24"/>
              </w:rPr>
            </w:pPr>
            <w:r>
              <w:rPr>
                <w:rFonts w:cs="Arial" w:ascii="Arial" w:hAnsi="Arial"/>
                <w:szCs w:val="24"/>
              </w:rPr>
              <w:t>Docket No. RT02-1-000</w:t>
              <w:tab/>
            </w:r>
          </w:p>
        </w:tc>
      </w:tr>
      <w:tr>
        <w:trPr>
          <w:trHeight w:val="252" w:hRule="atLeast"/>
        </w:trPr>
        <w:tc>
          <w:tcPr>
            <w:tcW w:w="5058" w:type="dxa"/>
            <w:tcBorders/>
          </w:tcPr>
          <w:p>
            <w:pPr>
              <w:pStyle w:val="Normal"/>
              <w:rPr>
                <w:rFonts w:ascii="Arial" w:hAnsi="Arial" w:cs="Arial"/>
                <w:szCs w:val="24"/>
              </w:rPr>
            </w:pPr>
            <w:r>
              <w:rPr>
                <w:rFonts w:cs="Arial" w:ascii="Arial" w:hAnsi="Arial"/>
                <w:szCs w:val="24"/>
              </w:rPr>
              <w:t>Tucson Electric Power Company</w:t>
            </w:r>
          </w:p>
        </w:tc>
        <w:tc>
          <w:tcPr>
            <w:tcW w:w="720" w:type="dxa"/>
            <w:tcBorders/>
          </w:tcPr>
          <w:p>
            <w:pPr>
              <w:pStyle w:val="Normal"/>
              <w:rPr>
                <w:rFonts w:ascii="Arial" w:hAnsi="Arial" w:cs="Arial"/>
                <w:szCs w:val="24"/>
              </w:rPr>
            </w:pPr>
            <w:r>
              <w:rPr>
                <w:rFonts w:cs="Arial" w:ascii="Arial" w:hAnsi="Arial"/>
                <w:szCs w:val="24"/>
              </w:rPr>
              <w:t>)</w:t>
            </w:r>
          </w:p>
        </w:tc>
        <w:tc>
          <w:tcPr>
            <w:tcW w:w="3798" w:type="dxa"/>
            <w:tcBorders/>
          </w:tcPr>
          <w:p>
            <w:pPr>
              <w:pStyle w:val="Normal"/>
              <w:snapToGrid w:val="false"/>
              <w:rPr>
                <w:rFonts w:ascii="Arial" w:hAnsi="Arial" w:cs="Arial"/>
                <w:szCs w:val="24"/>
              </w:rPr>
            </w:pPr>
            <w:r>
              <w:rPr>
                <w:rFonts w:cs="Arial" w:ascii="Arial" w:hAnsi="Arial"/>
                <w:szCs w:val="24"/>
              </w:rPr>
            </w:r>
          </w:p>
        </w:tc>
      </w:tr>
      <w:tr>
        <w:trPr>
          <w:trHeight w:val="252" w:hRule="atLeast"/>
        </w:trPr>
        <w:tc>
          <w:tcPr>
            <w:tcW w:w="5058" w:type="dxa"/>
            <w:tcBorders/>
          </w:tcPr>
          <w:p>
            <w:pPr>
              <w:pStyle w:val="Normal"/>
              <w:snapToGrid w:val="false"/>
              <w:rPr>
                <w:rFonts w:ascii="Arial" w:hAnsi="Arial" w:cs="Arial"/>
                <w:szCs w:val="24"/>
              </w:rPr>
            </w:pPr>
            <w:r>
              <w:rPr>
                <w:rFonts w:cs="Arial" w:ascii="Arial" w:hAnsi="Arial"/>
                <w:szCs w:val="24"/>
              </w:rPr>
            </w:r>
          </w:p>
        </w:tc>
        <w:tc>
          <w:tcPr>
            <w:tcW w:w="720" w:type="dxa"/>
            <w:tcBorders/>
          </w:tcPr>
          <w:p>
            <w:pPr>
              <w:pStyle w:val="Normal"/>
              <w:rPr>
                <w:rFonts w:ascii="Arial" w:hAnsi="Arial" w:cs="Arial"/>
                <w:szCs w:val="24"/>
              </w:rPr>
            </w:pPr>
            <w:r>
              <w:rPr>
                <w:rFonts w:cs="Arial" w:ascii="Arial" w:hAnsi="Arial"/>
                <w:szCs w:val="24"/>
              </w:rPr>
              <w:t>)</w:t>
            </w:r>
          </w:p>
        </w:tc>
        <w:tc>
          <w:tcPr>
            <w:tcW w:w="3798" w:type="dxa"/>
            <w:tcBorders/>
          </w:tcPr>
          <w:p>
            <w:pPr>
              <w:pStyle w:val="Normal"/>
              <w:snapToGrid w:val="false"/>
              <w:rPr>
                <w:rFonts w:ascii="Arial" w:hAnsi="Arial" w:cs="Arial"/>
                <w:szCs w:val="24"/>
              </w:rPr>
            </w:pPr>
            <w:r>
              <w:rPr>
                <w:rFonts w:cs="Arial" w:ascii="Arial" w:hAnsi="Arial"/>
                <w:szCs w:val="24"/>
              </w:rPr>
            </w:r>
          </w:p>
        </w:tc>
      </w:tr>
      <w:tr>
        <w:trPr>
          <w:trHeight w:val="252" w:hRule="atLeast"/>
        </w:trPr>
        <w:tc>
          <w:tcPr>
            <w:tcW w:w="5058" w:type="dxa"/>
            <w:tcBorders/>
          </w:tcPr>
          <w:p>
            <w:pPr>
              <w:pStyle w:val="Normal"/>
              <w:rPr>
                <w:rFonts w:ascii="Arial" w:hAnsi="Arial" w:cs="Arial"/>
                <w:szCs w:val="24"/>
              </w:rPr>
            </w:pPr>
            <w:r>
              <w:rPr>
                <w:rFonts w:cs="Arial" w:ascii="Arial" w:hAnsi="Arial"/>
                <w:szCs w:val="24"/>
              </w:rPr>
              <w:t>WestConnect RTO, LLC</w:t>
            </w:r>
          </w:p>
        </w:tc>
        <w:tc>
          <w:tcPr>
            <w:tcW w:w="720" w:type="dxa"/>
            <w:tcBorders/>
          </w:tcPr>
          <w:p>
            <w:pPr>
              <w:pStyle w:val="Normal"/>
              <w:rPr>
                <w:rFonts w:ascii="Arial" w:hAnsi="Arial" w:cs="Arial"/>
                <w:szCs w:val="24"/>
              </w:rPr>
            </w:pPr>
            <w:r>
              <w:rPr>
                <w:rFonts w:cs="Arial" w:ascii="Arial" w:hAnsi="Arial"/>
                <w:szCs w:val="24"/>
              </w:rPr>
              <w:t>)</w:t>
            </w:r>
          </w:p>
        </w:tc>
        <w:tc>
          <w:tcPr>
            <w:tcW w:w="3798" w:type="dxa"/>
            <w:tcBorders/>
          </w:tcPr>
          <w:p>
            <w:pPr>
              <w:pStyle w:val="Normal"/>
              <w:snapToGrid w:val="false"/>
              <w:rPr>
                <w:rFonts w:ascii="Arial" w:hAnsi="Arial" w:cs="Arial"/>
                <w:szCs w:val="24"/>
              </w:rPr>
            </w:pPr>
            <w:r>
              <w:rPr>
                <w:rFonts w:cs="Arial" w:ascii="Arial" w:hAnsi="Arial"/>
                <w:szCs w:val="24"/>
              </w:rPr>
            </w:r>
          </w:p>
        </w:tc>
      </w:tr>
      <w:tr>
        <w:trPr>
          <w:trHeight w:val="252" w:hRule="atLeast"/>
        </w:trPr>
        <w:tc>
          <w:tcPr>
            <w:tcW w:w="5058" w:type="dxa"/>
            <w:tcBorders>
              <w:bottom w:val="single" w:sz="4" w:space="0" w:color="000000"/>
            </w:tcBorders>
          </w:tcPr>
          <w:p>
            <w:pPr>
              <w:pStyle w:val="Normal"/>
              <w:snapToGrid w:val="false"/>
              <w:rPr>
                <w:rFonts w:ascii="Arial" w:hAnsi="Arial" w:cs="Arial"/>
                <w:szCs w:val="24"/>
              </w:rPr>
            </w:pPr>
            <w:r>
              <w:rPr>
                <w:rFonts w:cs="Arial" w:ascii="Arial" w:hAnsi="Arial"/>
                <w:szCs w:val="24"/>
              </w:rPr>
            </w:r>
          </w:p>
        </w:tc>
        <w:tc>
          <w:tcPr>
            <w:tcW w:w="720" w:type="dxa"/>
            <w:tcBorders/>
          </w:tcPr>
          <w:p>
            <w:pPr>
              <w:pStyle w:val="Normal"/>
              <w:rPr>
                <w:rFonts w:ascii="Arial" w:hAnsi="Arial" w:cs="Arial"/>
                <w:szCs w:val="24"/>
              </w:rPr>
            </w:pPr>
            <w:r>
              <w:rPr>
                <w:rFonts w:cs="Arial" w:ascii="Arial" w:hAnsi="Arial"/>
                <w:szCs w:val="24"/>
              </w:rPr>
              <w:t>)</w:t>
            </w:r>
          </w:p>
        </w:tc>
        <w:tc>
          <w:tcPr>
            <w:tcW w:w="3798" w:type="dxa"/>
            <w:tcBorders/>
          </w:tcPr>
          <w:p>
            <w:pPr>
              <w:pStyle w:val="Normal"/>
              <w:snapToGrid w:val="false"/>
              <w:rPr>
                <w:rFonts w:ascii="Arial" w:hAnsi="Arial" w:cs="Arial"/>
                <w:szCs w:val="24"/>
              </w:rPr>
            </w:pPr>
            <w:r>
              <w:rPr>
                <w:rFonts w:cs="Arial" w:ascii="Arial" w:hAnsi="Arial"/>
                <w:szCs w:val="24"/>
              </w:rPr>
            </w:r>
          </w:p>
        </w:tc>
      </w:tr>
    </w:tbl>
    <w:p>
      <w:pPr>
        <w:pStyle w:val="TitleStyle"/>
        <w:rPr>
          <w:rFonts w:ascii="Arial" w:hAnsi="Arial" w:cs="Arial"/>
          <w:szCs w:val="24"/>
        </w:rPr>
      </w:pPr>
      <w:r>
        <w:rPr>
          <w:rFonts w:cs="Arial" w:ascii="Arial" w:hAnsi="Arial"/>
          <w:szCs w:val="24"/>
        </w:rPr>
      </w:r>
    </w:p>
    <w:p>
      <w:pPr>
        <w:pStyle w:val="TitleStyle"/>
        <w:rPr>
          <w:rFonts w:ascii="Arial" w:hAnsi="Arial" w:cs="Arial"/>
          <w:szCs w:val="24"/>
        </w:rPr>
      </w:pPr>
      <w:r>
        <w:rPr>
          <w:rFonts w:cs="Arial" w:ascii="Arial" w:hAnsi="Arial"/>
          <w:szCs w:val="24"/>
        </w:rPr>
        <w:t xml:space="preserve">MOtion TO INTERVENE and PROTEST OF </w:t>
      </w:r>
    </w:p>
    <w:p>
      <w:pPr>
        <w:pStyle w:val="TitleStyle"/>
        <w:rPr>
          <w:rFonts w:ascii="Arial" w:hAnsi="Arial" w:cs="Arial"/>
          <w:szCs w:val="24"/>
          <w:u w:val="single"/>
        </w:rPr>
      </w:pPr>
      <w:r>
        <w:rPr>
          <w:rFonts w:cs="Arial" w:ascii="Arial" w:hAnsi="Arial"/>
          <w:szCs w:val="24"/>
          <w:u w:val="single"/>
        </w:rPr>
        <w:t>ELECTRIC POWER SUPPLY ASSOCIATION</w:t>
      </w:r>
    </w:p>
    <w:p>
      <w:pPr>
        <w:pStyle w:val="TitleStyle"/>
        <w:rPr>
          <w:rFonts w:ascii="Arial" w:hAnsi="Arial" w:cs="Arial"/>
          <w:szCs w:val="24"/>
          <w:u w:val="single"/>
        </w:rPr>
      </w:pPr>
      <w:r>
        <w:rPr>
          <w:rFonts w:cs="Arial" w:ascii="Arial" w:hAnsi="Arial"/>
          <w:szCs w:val="24"/>
          <w:u w:val="single"/>
        </w:rPr>
      </w:r>
    </w:p>
    <w:p>
      <w:pPr>
        <w:pStyle w:val="BodyTextStyle"/>
        <w:rPr/>
      </w:pPr>
      <w:r>
        <w:rPr>
          <w:rFonts w:cs="Arial" w:ascii="Arial" w:hAnsi="Arial"/>
          <w:szCs w:val="24"/>
        </w:rPr>
        <w:t>Pursuant to Rules 211 and 214 of the Rules of Practice and Procedure of the Federal Energy Regulatory Commission (FERC or Commission), 18 C.F.R. §§ 385.211 and 385.214, the Electric Power Supply Association (EPSA) hereby moves to Intervene in and Protests the above-captioned proceeding.  On October 15, 2001, Arizona Public Service Company, El Paso Electric Company, Public Service Company of New Mexico and Tucson Electric Power Company (collectively, the Participating Transmission Owners or PTOs) filed with the Commission a Petition for Declaratory Order seeking confirmation from the Commission that their proposal to form WestConnect RTO, LLC (WestConnect or the RTO) met the requirements set forth in Order No. 2000.</w:t>
      </w:r>
      <w:r>
        <w:rPr>
          <w:rStyle w:val="FootnoteCharacters"/>
          <w:rStyle w:val="FootnoteReference"/>
          <w:rFonts w:cs="Arial" w:ascii="Arial" w:hAnsi="Arial"/>
          <w:szCs w:val="24"/>
        </w:rPr>
        <w:footnoteReference w:id="2"/>
      </w:r>
      <w:r>
        <w:rPr>
          <w:rFonts w:cs="Arial" w:ascii="Arial" w:hAnsi="Arial"/>
          <w:szCs w:val="24"/>
        </w:rPr>
        <w:t xml:space="preserve">  While not joining in the filing, Salt River Project Agricultural Power and Improvement District (SRP), Western Area Power Administration (WAPA) and Southwest Transmission Power Cooperative, Inc. (SWTC) (collectively, the Non-Jurisdictional Participants) participated in WestConnect formation efforts and are referred to throughout the Petition and supporting materials.</w:t>
      </w:r>
    </w:p>
    <w:p>
      <w:pPr>
        <w:pStyle w:val="Heading1"/>
        <w:ind w:hanging="0" w:start="0"/>
        <w:rPr>
          <w:rFonts w:ascii="Arial" w:hAnsi="Arial" w:cs="Arial"/>
          <w:b/>
          <w:szCs w:val="24"/>
        </w:rPr>
      </w:pPr>
      <w:r>
        <w:rPr>
          <w:rFonts w:cs="Arial" w:ascii="Arial" w:hAnsi="Arial"/>
          <w:b/>
          <w:szCs w:val="24"/>
        </w:rPr>
        <w:t>MOTION TO INTERVENE</w:t>
      </w:r>
    </w:p>
    <w:p>
      <w:pPr>
        <w:pStyle w:val="BodyTextStyle"/>
        <w:rPr/>
      </w:pPr>
      <w:r>
        <w:rPr>
          <w:rFonts w:cs="Arial" w:ascii="Arial" w:hAnsi="Arial"/>
          <w:szCs w:val="24"/>
        </w:rPr>
        <w:t>EPSA is the national trade association representing competitive power suppliers, including independent power producers, merchant generators and power marketers.  EPSA members provide reliable, competitively priced electricity from environmentally-responsible facilities in U.S. and global power markets. EPSA seeks to bring the benefits of competition to all power customers.</w:t>
      </w:r>
      <w:r>
        <w:rPr>
          <w:rStyle w:val="FootnoteCharacters"/>
          <w:rStyle w:val="FootnoteReference"/>
          <w:rFonts w:cs="Arial" w:ascii="Arial" w:hAnsi="Arial"/>
          <w:szCs w:val="24"/>
        </w:rPr>
        <w:footnoteReference w:id="3"/>
      </w:r>
      <w:r>
        <w:rPr>
          <w:rFonts w:cs="Arial" w:ascii="Arial" w:hAnsi="Arial"/>
          <w:szCs w:val="24"/>
        </w:rPr>
        <w:t xml:space="preserve">  </w:t>
      </w:r>
    </w:p>
    <w:p>
      <w:pPr>
        <w:pStyle w:val="BodyTextStyle"/>
        <w:rPr>
          <w:rFonts w:ascii="Arial" w:hAnsi="Arial" w:cs="Arial"/>
          <w:szCs w:val="24"/>
        </w:rPr>
      </w:pPr>
      <w:r>
        <w:rPr>
          <w:rFonts w:cs="Arial" w:ascii="Arial" w:hAnsi="Arial"/>
          <w:szCs w:val="24"/>
        </w:rPr>
        <w:t>Certain EPSA members presently participate in the WestConnect markets, or are in the process of developing new generating projects in the WestConnect service area.  EPSA is interested in protecting the rights of these power suppliers to equal access to WestConnect transmission facilities, as well as fair and nondiscriminatory pricing for these transmission services.  Accordingly, EPSA has a direct and substantial interest in the outcome of the instant proceedings, which cannot adequately be represented by any other party.  EPSA submits that good cause exists for granting this timely motion to intervene, and that its intervention is in the public interest, and should be granted.</w:t>
      </w:r>
    </w:p>
    <w:p>
      <w:pPr>
        <w:pStyle w:val="BodyTextStyle"/>
        <w:rPr>
          <w:rFonts w:ascii="Arial" w:hAnsi="Arial" w:cs="Arial"/>
          <w:szCs w:val="24"/>
        </w:rPr>
      </w:pPr>
      <w:r>
        <w:rPr>
          <w:rFonts w:cs="Arial" w:ascii="Arial" w:hAnsi="Arial"/>
          <w:szCs w:val="24"/>
        </w:rPr>
        <w:t>All pleadings, correspondence and other communications concerning this proceeding should be directed to:</w:t>
      </w:r>
    </w:p>
    <w:p>
      <w:pPr>
        <w:pStyle w:val="BodyTextStyle"/>
        <w:rPr>
          <w:rFonts w:ascii="Arial" w:hAnsi="Arial" w:cs="Arial"/>
          <w:szCs w:val="24"/>
        </w:rPr>
      </w:pPr>
      <w:r>
        <w:rPr>
          <w:rFonts w:cs="Arial" w:ascii="Arial" w:hAnsi="Arial"/>
          <w:szCs w:val="24"/>
        </w:rPr>
      </w:r>
    </w:p>
    <w:tbl>
      <w:tblPr>
        <w:tblW w:w="9810" w:type="dxa"/>
        <w:jc w:val="start"/>
        <w:tblInd w:w="108" w:type="dxa"/>
        <w:tblLayout w:type="fixed"/>
        <w:tblCellMar>
          <w:top w:w="0" w:type="dxa"/>
          <w:start w:w="108" w:type="dxa"/>
          <w:bottom w:w="0" w:type="dxa"/>
          <w:end w:w="108" w:type="dxa"/>
        </w:tblCellMar>
      </w:tblPr>
      <w:tblGrid>
        <w:gridCol w:w="4950"/>
        <w:gridCol w:w="4860"/>
      </w:tblGrid>
      <w:tr>
        <w:trPr>
          <w:trHeight w:val="2223" w:hRule="atLeast"/>
          <w:cantSplit w:val="true"/>
        </w:trPr>
        <w:tc>
          <w:tcPr>
            <w:tcW w:w="4950" w:type="dxa"/>
            <w:tcBorders/>
          </w:tcPr>
          <w:p>
            <w:pPr>
              <w:pStyle w:val="Normal"/>
              <w:rPr>
                <w:rFonts w:ascii="Arial" w:hAnsi="Arial" w:cs="Arial"/>
                <w:szCs w:val="24"/>
              </w:rPr>
            </w:pPr>
            <w:r>
              <w:rPr>
                <w:rFonts w:cs="Arial" w:ascii="Arial" w:hAnsi="Arial"/>
                <w:szCs w:val="24"/>
              </w:rPr>
              <w:t>Erin Perrigo, Manager of Policy</w:t>
            </w:r>
          </w:p>
          <w:p>
            <w:pPr>
              <w:pStyle w:val="Normal"/>
              <w:rPr>
                <w:rFonts w:ascii="Arial" w:hAnsi="Arial" w:cs="Arial"/>
                <w:szCs w:val="24"/>
              </w:rPr>
            </w:pPr>
            <w:r>
              <w:rPr>
                <w:rFonts w:cs="Arial" w:ascii="Arial" w:hAnsi="Arial"/>
                <w:szCs w:val="24"/>
              </w:rPr>
              <w:t>Electric Power Supply Association</w:t>
            </w:r>
          </w:p>
          <w:p>
            <w:pPr>
              <w:pStyle w:val="Normal"/>
              <w:rPr/>
            </w:pPr>
            <w:r>
              <w:rPr>
                <w:rFonts w:cs="Arial" w:ascii="Arial" w:hAnsi="Arial"/>
                <w:szCs w:val="24"/>
              </w:rPr>
              <w:t>1401 New York Avenue, N.W., 11</w:t>
            </w:r>
            <w:r>
              <w:rPr>
                <w:rFonts w:cs="Arial" w:ascii="Arial" w:hAnsi="Arial"/>
                <w:szCs w:val="24"/>
                <w:vertAlign w:val="superscript"/>
              </w:rPr>
              <w:t>th</w:t>
            </w:r>
            <w:r>
              <w:rPr>
                <w:rFonts w:cs="Arial" w:ascii="Arial" w:hAnsi="Arial"/>
                <w:szCs w:val="24"/>
              </w:rPr>
              <w:t xml:space="preserve"> Floor</w:t>
            </w:r>
          </w:p>
          <w:p>
            <w:pPr>
              <w:pStyle w:val="Normal"/>
              <w:rPr>
                <w:rFonts w:ascii="Arial" w:hAnsi="Arial" w:cs="Arial"/>
                <w:szCs w:val="24"/>
              </w:rPr>
            </w:pPr>
            <w:r>
              <w:rPr>
                <w:rFonts w:cs="Arial" w:ascii="Arial" w:hAnsi="Arial"/>
                <w:szCs w:val="24"/>
              </w:rPr>
              <w:t>Washington, D.C.  20005</w:t>
            </w:r>
          </w:p>
          <w:p>
            <w:pPr>
              <w:pStyle w:val="Normal"/>
              <w:rPr>
                <w:rFonts w:ascii="Arial" w:hAnsi="Arial" w:cs="Arial"/>
                <w:szCs w:val="24"/>
              </w:rPr>
            </w:pPr>
            <w:r>
              <w:rPr>
                <w:rFonts w:cs="Arial" w:ascii="Arial" w:hAnsi="Arial"/>
                <w:szCs w:val="24"/>
              </w:rPr>
              <w:t>Tel:</w:t>
              <w:tab/>
              <w:t>(202) 789-7200</w:t>
            </w:r>
          </w:p>
          <w:p>
            <w:pPr>
              <w:pStyle w:val="Normal"/>
              <w:rPr>
                <w:rFonts w:ascii="Arial" w:hAnsi="Arial" w:cs="Arial"/>
                <w:szCs w:val="24"/>
              </w:rPr>
            </w:pPr>
            <w:r>
              <w:rPr>
                <w:rFonts w:cs="Arial" w:ascii="Arial" w:hAnsi="Arial"/>
                <w:szCs w:val="24"/>
              </w:rPr>
              <w:t>Fax:</w:t>
              <w:tab/>
              <w:t>(202) 789-7201</w:t>
            </w:r>
          </w:p>
          <w:p>
            <w:pPr>
              <w:pStyle w:val="Normal"/>
              <w:rPr>
                <w:rFonts w:ascii="Arial" w:hAnsi="Arial" w:cs="Arial"/>
                <w:szCs w:val="24"/>
              </w:rPr>
            </w:pPr>
            <w:r>
              <w:rPr>
                <w:rFonts w:cs="Arial" w:ascii="Arial" w:hAnsi="Arial"/>
                <w:szCs w:val="24"/>
              </w:rPr>
            </w:r>
          </w:p>
        </w:tc>
        <w:tc>
          <w:tcPr>
            <w:tcW w:w="4860" w:type="dxa"/>
            <w:tcBorders/>
          </w:tcPr>
          <w:p>
            <w:pPr>
              <w:pStyle w:val="Normal"/>
              <w:rPr>
                <w:rFonts w:ascii="Arial" w:hAnsi="Arial" w:cs="Arial"/>
                <w:szCs w:val="24"/>
              </w:rPr>
            </w:pPr>
            <w:r>
              <w:rPr>
                <w:rFonts w:cs="Arial" w:ascii="Arial" w:hAnsi="Arial"/>
                <w:szCs w:val="24"/>
              </w:rPr>
              <w:t>Frederick D. Ochsenhirt</w:t>
            </w:r>
          </w:p>
          <w:p>
            <w:pPr>
              <w:pStyle w:val="Normal"/>
              <w:rPr/>
            </w:pPr>
            <w:r>
              <w:rPr>
                <w:rFonts w:cs="Arial" w:ascii="Arial" w:hAnsi="Arial"/>
                <w:szCs w:val="24"/>
              </w:rPr>
              <w:t xml:space="preserve">Dickstein Shapiro Morin </w:t>
            </w:r>
            <w:r>
              <w:rPr>
                <w:rFonts w:cs="Arial" w:ascii="Arial" w:hAnsi="Arial"/>
                <w:i/>
                <w:szCs w:val="24"/>
              </w:rPr>
              <w:t xml:space="preserve">&amp; </w:t>
            </w:r>
            <w:r>
              <w:rPr>
                <w:rFonts w:cs="Arial" w:ascii="Arial" w:hAnsi="Arial"/>
                <w:szCs w:val="24"/>
              </w:rPr>
              <w:t>Oshinsky LLP</w:t>
            </w:r>
          </w:p>
          <w:p>
            <w:pPr>
              <w:pStyle w:val="Normal"/>
              <w:rPr>
                <w:rFonts w:ascii="Arial" w:hAnsi="Arial" w:cs="Arial"/>
                <w:szCs w:val="24"/>
              </w:rPr>
            </w:pPr>
            <w:r>
              <w:rPr>
                <w:rFonts w:cs="Arial" w:ascii="Arial" w:hAnsi="Arial"/>
                <w:szCs w:val="24"/>
              </w:rPr>
              <w:t>2101 L Street, NW</w:t>
            </w:r>
          </w:p>
          <w:p>
            <w:pPr>
              <w:pStyle w:val="Normal"/>
              <w:rPr>
                <w:rFonts w:ascii="Arial" w:hAnsi="Arial" w:cs="Arial"/>
                <w:szCs w:val="24"/>
              </w:rPr>
            </w:pPr>
            <w:r>
              <w:rPr>
                <w:rFonts w:cs="Arial" w:ascii="Arial" w:hAnsi="Arial"/>
                <w:szCs w:val="24"/>
              </w:rPr>
              <w:t>Washington, DC 20037</w:t>
            </w:r>
          </w:p>
          <w:p>
            <w:pPr>
              <w:pStyle w:val="Normal"/>
              <w:rPr>
                <w:rFonts w:ascii="Arial" w:hAnsi="Arial" w:cs="Arial"/>
                <w:szCs w:val="24"/>
              </w:rPr>
            </w:pPr>
            <w:r>
              <w:rPr>
                <w:rFonts w:cs="Arial" w:ascii="Arial" w:hAnsi="Arial"/>
                <w:szCs w:val="24"/>
              </w:rPr>
              <w:t>Tel:  202-861-9161</w:t>
            </w:r>
          </w:p>
          <w:p>
            <w:pPr>
              <w:pStyle w:val="Normal"/>
              <w:rPr>
                <w:rFonts w:ascii="Arial" w:hAnsi="Arial" w:cs="Arial"/>
                <w:szCs w:val="24"/>
              </w:rPr>
            </w:pPr>
            <w:r>
              <w:rPr>
                <w:rFonts w:cs="Arial" w:ascii="Arial" w:hAnsi="Arial"/>
                <w:szCs w:val="24"/>
              </w:rPr>
              <w:t>Fax: 202-887-0689</w:t>
            </w:r>
          </w:p>
          <w:p>
            <w:pPr>
              <w:pStyle w:val="Normal"/>
              <w:rPr>
                <w:rFonts w:ascii="Arial" w:hAnsi="Arial" w:cs="Arial"/>
                <w:szCs w:val="24"/>
              </w:rPr>
            </w:pPr>
            <w:r>
              <w:rPr>
                <w:rFonts w:cs="Arial" w:ascii="Arial" w:hAnsi="Arial"/>
                <w:szCs w:val="24"/>
              </w:rPr>
              <w:t>OchsenhirtF@dsmo.com</w:t>
            </w:r>
          </w:p>
        </w:tc>
      </w:tr>
    </w:tbl>
    <w:p>
      <w:pPr>
        <w:pStyle w:val="Heading1"/>
        <w:ind w:hanging="0" w:start="0"/>
        <w:rPr>
          <w:rFonts w:ascii="Arial" w:hAnsi="Arial" w:cs="Arial"/>
          <w:b/>
          <w:szCs w:val="24"/>
        </w:rPr>
      </w:pPr>
      <w:r>
        <w:rPr>
          <w:rFonts w:cs="Arial" w:ascii="Arial" w:hAnsi="Arial"/>
          <w:b/>
          <w:szCs w:val="24"/>
        </w:rPr>
        <w:t>PROTEST</w:t>
      </w:r>
    </w:p>
    <w:p>
      <w:pPr>
        <w:pStyle w:val="Heading2"/>
        <w:ind w:hanging="0" w:start="0"/>
        <w:rPr>
          <w:rFonts w:ascii="Arial" w:hAnsi="Arial" w:cs="Arial"/>
          <w:szCs w:val="24"/>
        </w:rPr>
      </w:pPr>
      <w:r>
        <w:rPr>
          <w:rFonts w:cs="Arial" w:ascii="Arial" w:hAnsi="Arial"/>
          <w:szCs w:val="24"/>
        </w:rPr>
        <w:t>Introduction</w:t>
      </w:r>
    </w:p>
    <w:p>
      <w:pPr>
        <w:pStyle w:val="BodyTextStyle"/>
        <w:rPr/>
      </w:pPr>
      <w:r>
        <w:rPr>
          <w:rFonts w:cs="Arial" w:ascii="Arial" w:hAnsi="Arial"/>
          <w:szCs w:val="24"/>
        </w:rPr>
        <w:t>EPSA recognizes that the Commission recently announced its intention to proceed with RTO development along two parallel tracks, with RTO geographic scope and governance issues addressed in pending “RT” dockets like WestConnect’s filing, leaving generator interconnection and market design matters for resolution in the Commission’s forthcoming rulemaking proceedings.</w:t>
      </w:r>
      <w:r>
        <w:rPr>
          <w:rStyle w:val="FootnoteCharacters"/>
          <w:rStyle w:val="FootnoteReference"/>
          <w:rFonts w:cs="Arial" w:ascii="Arial" w:hAnsi="Arial"/>
          <w:szCs w:val="24"/>
        </w:rPr>
        <w:footnoteReference w:id="4"/>
      </w:r>
      <w:r>
        <w:rPr>
          <w:rFonts w:cs="Arial" w:ascii="Arial" w:hAnsi="Arial"/>
          <w:szCs w:val="24"/>
        </w:rPr>
        <w:t xml:space="preserve">  Accordingly, EPSA will focus on independence and governance issues in this Protest.  While recognizing that the Commission may elect to defer market design matters for later consideration, EPSA will provide comments on the more troubling aspects of the PTOs’ proposal.</w:t>
      </w:r>
    </w:p>
    <w:p>
      <w:pPr>
        <w:pStyle w:val="BodyTextStyle"/>
        <w:rPr/>
      </w:pPr>
      <w:r>
        <w:rPr>
          <w:rFonts w:cs="Arial" w:ascii="Arial" w:hAnsi="Arial"/>
          <w:szCs w:val="24"/>
        </w:rPr>
        <w:t>The WestConnect effort is the product of earlier efforts to form an Independent System Operator, Desert STAR, in the Southwest.  The Desert STAR effort included the PTOs sponsoring the instant Petition, along with stakeholders representing a broad range of industry sectors.</w:t>
      </w:r>
      <w:r>
        <w:rPr>
          <w:rStyle w:val="FootnoteCharacters"/>
          <w:rStyle w:val="FootnoteReference"/>
          <w:rFonts w:cs="Arial" w:ascii="Arial" w:hAnsi="Arial"/>
          <w:szCs w:val="24"/>
        </w:rPr>
        <w:footnoteReference w:id="5"/>
      </w:r>
      <w:r>
        <w:rPr>
          <w:rFonts w:cs="Arial" w:ascii="Arial" w:hAnsi="Arial"/>
          <w:szCs w:val="24"/>
        </w:rPr>
        <w:t xml:space="preserve">  Desert STAR was formally incorporated in late 1999, and the Desert STAR Advisory Committee seated an independent Board of Directors in early 2000.  The open stakeholder process produced a relatively complete ISO proposal by April 2001, to be filed with the Commission in May.</w:t>
      </w:r>
    </w:p>
    <w:p>
      <w:pPr>
        <w:pStyle w:val="BodyTextStyle"/>
        <w:rPr/>
      </w:pPr>
      <w:r>
        <w:rPr>
          <w:rFonts w:cs="Arial" w:ascii="Arial" w:hAnsi="Arial"/>
          <w:szCs w:val="24"/>
        </w:rPr>
        <w:t>Prior to the May 2001 Desert STAR Board meeting, however, the PTOs informed the Board that they wished to pursue a for-profit Transco rather than the ISO proposed for Desert STAR, recommending significant changes to Desert STAR’s tariff and governing documents.  The PTOs further informed the Board that if the Board pursued the proposal resulting from the stakeholder process, the PTOs would not commit to transfer operational control of their facilities to the RTO, and would cease funding Desert STAR development efforts.  While EPSA generally supports the establishment of a for-profit Transco, the WestConnect filing is the culmination, not of the Desert STAR collaborative effort, but of the subsequent negotiations between and among the PTOs.</w:t>
      </w:r>
      <w:r>
        <w:rPr>
          <w:rStyle w:val="FootnoteCharacters"/>
          <w:rStyle w:val="FootnoteReference"/>
          <w:rFonts w:cs="Arial" w:ascii="Arial" w:hAnsi="Arial"/>
          <w:szCs w:val="24"/>
        </w:rPr>
        <w:footnoteReference w:id="6"/>
      </w:r>
      <w:r>
        <w:rPr>
          <w:rFonts w:cs="Arial" w:ascii="Arial" w:hAnsi="Arial"/>
          <w:szCs w:val="24"/>
        </w:rPr>
        <w:t xml:space="preserve">  As discussed below, the product of the PTOs’ negotiations significantly shifts authority from the RTO to the PTOs, in contravention of Order No. 2000.</w:t>
      </w:r>
    </w:p>
    <w:p>
      <w:pPr>
        <w:pStyle w:val="Heading2"/>
        <w:ind w:hanging="0" w:start="0"/>
        <w:rPr>
          <w:rFonts w:ascii="Arial" w:hAnsi="Arial" w:cs="Arial"/>
          <w:szCs w:val="24"/>
        </w:rPr>
      </w:pPr>
      <w:r>
        <w:rPr>
          <w:rFonts w:cs="Arial" w:ascii="Arial" w:hAnsi="Arial"/>
          <w:szCs w:val="24"/>
        </w:rPr>
        <w:t>The Participating Transmission Owners Retain Too Much Authority Over RTO Operations</w:t>
      </w:r>
    </w:p>
    <w:p>
      <w:pPr>
        <w:pStyle w:val="BodyTextStyle"/>
        <w:rPr/>
      </w:pPr>
      <w:r>
        <w:rPr>
          <w:rFonts w:cs="Arial" w:ascii="Arial" w:hAnsi="Arial"/>
          <w:szCs w:val="24"/>
        </w:rPr>
        <w:t>In Order No. 2000, the Commission affirmed its earlier statement (dating to Order No. 888) that independence is the bedrock upon which any RTO will be built.</w:t>
      </w:r>
      <w:r>
        <w:rPr>
          <w:rStyle w:val="FootnoteCharacters"/>
          <w:rStyle w:val="FootnoteReference"/>
          <w:rFonts w:cs="Arial" w:ascii="Arial" w:hAnsi="Arial"/>
          <w:szCs w:val="24"/>
        </w:rPr>
        <w:footnoteReference w:id="7"/>
      </w:r>
      <w:r>
        <w:rPr>
          <w:rFonts w:cs="Arial" w:ascii="Arial" w:hAnsi="Arial"/>
          <w:szCs w:val="24"/>
        </w:rPr>
        <w:t xml:space="preserve">  Applying this general rule, the Commission required that:</w:t>
      </w:r>
    </w:p>
    <w:p>
      <w:pPr>
        <w:pStyle w:val="BlockQuote"/>
        <w:rPr>
          <w:rFonts w:ascii="Arial" w:hAnsi="Arial" w:cs="Arial"/>
          <w:szCs w:val="24"/>
        </w:rPr>
      </w:pPr>
      <w:r>
        <w:rPr>
          <w:rFonts w:cs="Arial" w:ascii="Arial" w:hAnsi="Arial"/>
          <w:szCs w:val="24"/>
        </w:rPr>
        <w:t>any RTO governance proposals, whether from an ISO, Transco or a hybrid arrangement, will be judged on a case-by-case basis against the overarching standard that its decision making process must be independent of individual market participants and classes of market participants.</w:t>
      </w:r>
      <w:r>
        <w:rPr>
          <w:rStyle w:val="FootnoteCharacters"/>
          <w:rStyle w:val="FootnoteReference"/>
          <w:rFonts w:cs="Arial" w:ascii="Arial" w:hAnsi="Arial"/>
          <w:szCs w:val="24"/>
        </w:rPr>
        <w:footnoteReference w:id="8"/>
      </w:r>
    </w:p>
    <w:p>
      <w:pPr>
        <w:pStyle w:val="BodyTextStyle"/>
        <w:rPr/>
      </w:pPr>
      <w:r>
        <w:rPr>
          <w:rFonts w:cs="Arial" w:ascii="Arial" w:hAnsi="Arial"/>
          <w:szCs w:val="24"/>
        </w:rPr>
        <w:t xml:space="preserve">When the PTOs elected to move away from a stakeholder-driven ISO structure to the for-profit RTO proposed in the petition, they reserved for themselves significant authority, restricting the ability of the RTO to independently operate the grid.  The </w:t>
      </w:r>
      <w:r>
        <w:rPr>
          <w:rFonts w:cs="Arial" w:ascii="Arial" w:hAnsi="Arial"/>
          <w:i/>
          <w:szCs w:val="24"/>
        </w:rPr>
        <w:t>pro forma</w:t>
      </w:r>
      <w:r>
        <w:rPr>
          <w:rFonts w:cs="Arial" w:ascii="Arial" w:hAnsi="Arial"/>
          <w:szCs w:val="24"/>
        </w:rPr>
        <w:t xml:space="preserve"> Transmission Control Agreement (TCA)</w:t>
      </w:r>
      <w:r>
        <w:rPr>
          <w:rStyle w:val="FootnoteCharacters"/>
          <w:rStyle w:val="FootnoteReference"/>
          <w:rFonts w:cs="Arial" w:ascii="Arial" w:hAnsi="Arial"/>
          <w:szCs w:val="24"/>
        </w:rPr>
        <w:footnoteReference w:id="9"/>
      </w:r>
      <w:r>
        <w:rPr>
          <w:rFonts w:cs="Arial" w:ascii="Arial" w:hAnsi="Arial"/>
          <w:szCs w:val="24"/>
        </w:rPr>
        <w:t xml:space="preserve"> is replete with requirements that the RTO “consult with” the PTOs before taking action.  Thus, the RTO cannot revise its own Tariff, Protocols and Operating Procedures,</w:t>
      </w:r>
      <w:r>
        <w:rPr>
          <w:rStyle w:val="FootnoteCharacters"/>
          <w:rStyle w:val="FootnoteReference"/>
          <w:rFonts w:cs="Arial" w:ascii="Arial" w:hAnsi="Arial"/>
          <w:szCs w:val="24"/>
        </w:rPr>
        <w:footnoteReference w:id="10"/>
      </w:r>
      <w:r>
        <w:rPr>
          <w:rFonts w:cs="Arial" w:ascii="Arial" w:hAnsi="Arial"/>
          <w:szCs w:val="24"/>
        </w:rPr>
        <w:t xml:space="preserve"> promulgate Reliability Criteria,</w:t>
      </w:r>
      <w:r>
        <w:rPr>
          <w:rStyle w:val="FootnoteCharacters"/>
          <w:rStyle w:val="FootnoteReference"/>
          <w:rFonts w:cs="Arial" w:ascii="Arial" w:hAnsi="Arial"/>
          <w:szCs w:val="24"/>
        </w:rPr>
        <w:footnoteReference w:id="11"/>
      </w:r>
      <w:r>
        <w:rPr>
          <w:rFonts w:cs="Arial" w:ascii="Arial" w:hAnsi="Arial"/>
          <w:szCs w:val="24"/>
        </w:rPr>
        <w:t xml:space="preserve"> or calculate Total Transfer Capability or Available Transmission Capability</w:t>
      </w:r>
      <w:r>
        <w:rPr>
          <w:rStyle w:val="FootnoteCharacters"/>
          <w:rStyle w:val="FootnoteReference"/>
          <w:rFonts w:cs="Arial" w:ascii="Arial" w:hAnsi="Arial"/>
          <w:szCs w:val="24"/>
        </w:rPr>
        <w:footnoteReference w:id="12"/>
      </w:r>
      <w:r>
        <w:rPr>
          <w:rFonts w:cs="Arial" w:ascii="Arial" w:hAnsi="Arial"/>
          <w:szCs w:val="24"/>
        </w:rPr>
        <w:t xml:space="preserve"> without first consulting the PTOs.  The RTO is not required to consult with any stakeholder other than the PTOs before taking these actions.</w:t>
      </w:r>
    </w:p>
    <w:p>
      <w:pPr>
        <w:pStyle w:val="BodyTextStyle"/>
        <w:rPr/>
      </w:pPr>
      <w:r>
        <w:rPr>
          <w:rFonts w:cs="Arial" w:ascii="Arial" w:hAnsi="Arial"/>
          <w:szCs w:val="24"/>
        </w:rPr>
        <w:t>In addition, the PTOs reserve for themselves significant authority to block RTO action.  Three-quarters of the PTOs executing a TCA may postpone the RTO Operations Date if they conclude, apparently at their own discretion, that the RTO is unable to perform its obligations.</w:t>
      </w:r>
      <w:r>
        <w:rPr>
          <w:rStyle w:val="FootnoteCharacters"/>
          <w:rStyle w:val="FootnoteReference"/>
          <w:rFonts w:cs="Arial" w:ascii="Arial" w:hAnsi="Arial"/>
          <w:szCs w:val="24"/>
        </w:rPr>
        <w:footnoteReference w:id="13"/>
      </w:r>
      <w:r>
        <w:rPr>
          <w:rFonts w:cs="Arial" w:ascii="Arial" w:hAnsi="Arial"/>
          <w:szCs w:val="24"/>
        </w:rPr>
        <w:t xml:space="preserve">  Even where the RTO Tariff ostensibly gives the RTO authority over the PTOs and PTO facilities, the TCA grants the PTOs the ability to prevent RTO action, as Section 4.6 of the TCA provides that in the event of a conflict between Section 6.2 of the TCA (which incorporates by reference most sections of the TCA granting power to the PTOs) and </w:t>
      </w:r>
      <w:r>
        <w:rPr>
          <w:rFonts w:cs="Arial" w:ascii="Arial" w:hAnsi="Arial"/>
          <w:i/>
          <w:szCs w:val="24"/>
        </w:rPr>
        <w:t>any</w:t>
      </w:r>
      <w:r>
        <w:rPr>
          <w:rFonts w:cs="Arial" w:ascii="Arial" w:hAnsi="Arial"/>
          <w:szCs w:val="24"/>
        </w:rPr>
        <w:t xml:space="preserve"> other WestConnect document, the TCA prevails.</w:t>
      </w:r>
    </w:p>
    <w:p>
      <w:pPr>
        <w:pStyle w:val="BodyTextStyle"/>
        <w:rPr/>
      </w:pPr>
      <w:r>
        <w:rPr>
          <w:rFonts w:cs="Arial" w:ascii="Arial" w:hAnsi="Arial"/>
          <w:szCs w:val="24"/>
        </w:rPr>
        <w:t>Each PTO has absolute veto authority over any change to the WestConnect rate methodology through January 1, 2009, as the RTO cannot implement a change to the methodology without the unanimous consent of all PTOs.</w:t>
      </w:r>
      <w:r>
        <w:rPr>
          <w:rStyle w:val="FootnoteCharacters"/>
          <w:rStyle w:val="FootnoteReference"/>
          <w:rFonts w:cs="Arial" w:ascii="Arial" w:hAnsi="Arial"/>
          <w:szCs w:val="24"/>
        </w:rPr>
        <w:footnoteReference w:id="14"/>
      </w:r>
      <w:r>
        <w:rPr>
          <w:rFonts w:cs="Arial" w:ascii="Arial" w:hAnsi="Arial"/>
          <w:szCs w:val="24"/>
        </w:rPr>
        <w:t xml:space="preserve">  The PTOs also reserve the right to deem the RTO in material violation of the TCA.</w:t>
      </w:r>
      <w:r>
        <w:rPr>
          <w:rStyle w:val="FootnoteCharacters"/>
          <w:rStyle w:val="FootnoteReference"/>
          <w:rFonts w:cs="Arial" w:ascii="Arial" w:hAnsi="Arial"/>
          <w:szCs w:val="24"/>
        </w:rPr>
        <w:footnoteReference w:id="15"/>
      </w:r>
      <w:r>
        <w:rPr>
          <w:rFonts w:cs="Arial" w:ascii="Arial" w:hAnsi="Arial"/>
          <w:szCs w:val="24"/>
        </w:rPr>
        <w:t xml:space="preserve">  In addition, as discussed below, the PTOs have granted themselves a right of first refusal to construct transmission facilities, preferential treatment of PTO contracts and preferential access to congestion rights.</w:t>
      </w:r>
    </w:p>
    <w:p>
      <w:pPr>
        <w:pStyle w:val="BodyTextStyle"/>
        <w:rPr/>
      </w:pPr>
      <w:r>
        <w:rPr>
          <w:rFonts w:cs="Arial" w:ascii="Arial" w:hAnsi="Arial"/>
          <w:szCs w:val="24"/>
        </w:rPr>
        <w:t>The Board of Directors selection process set forth in the Limited Liability Company Agreement (LLC Agreement), Attachment 3 to the Petition, likewise favors the PTOs.  Under the LLC, each of the PTOs, as either a Member or Debt Holder, is entitled to a seat on the Board Selection Committee.  Stakeholders from any of the other seven sectors must choose a single member of the Committee to represent the sector.</w:t>
      </w:r>
      <w:r>
        <w:rPr>
          <w:rStyle w:val="FootnoteCharacters"/>
          <w:rStyle w:val="FootnoteReference"/>
          <w:rFonts w:cs="Arial" w:ascii="Arial" w:hAnsi="Arial"/>
          <w:szCs w:val="24"/>
        </w:rPr>
        <w:footnoteReference w:id="16"/>
      </w:r>
      <w:r>
        <w:rPr>
          <w:rFonts w:cs="Arial" w:ascii="Arial" w:hAnsi="Arial"/>
          <w:szCs w:val="24"/>
        </w:rPr>
        <w:t xml:space="preserve">  The Committee is then divided into two voting groups, PTOs and everyone else.</w:t>
      </w:r>
      <w:r>
        <w:rPr>
          <w:rStyle w:val="FootnoteCharacters"/>
          <w:rStyle w:val="FootnoteReference"/>
          <w:rFonts w:cs="Arial" w:ascii="Arial" w:hAnsi="Arial"/>
          <w:szCs w:val="24"/>
        </w:rPr>
        <w:footnoteReference w:id="17"/>
      </w:r>
      <w:r>
        <w:rPr>
          <w:rFonts w:cs="Arial" w:ascii="Arial" w:hAnsi="Arial"/>
          <w:szCs w:val="24"/>
        </w:rPr>
        <w:t xml:space="preserve">  Assuming the Committee cannot select a Board by consensus, the groups exercise a series of “strikes” to narrow a 24-member slate to eight candidates.  This “strike” process favors the PTOs, who together exercise eight strikes – the remaining seven sectors (with a single Generator representative) are left to fight over the remaining eight.</w:t>
      </w:r>
      <w:r>
        <w:rPr>
          <w:rStyle w:val="FootnoteCharacters"/>
          <w:rStyle w:val="FootnoteReference"/>
          <w:rFonts w:cs="Arial" w:ascii="Arial" w:hAnsi="Arial"/>
          <w:szCs w:val="24"/>
        </w:rPr>
        <w:footnoteReference w:id="18"/>
      </w:r>
      <w:r>
        <w:rPr>
          <w:rFonts w:cs="Arial" w:ascii="Arial" w:hAnsi="Arial"/>
          <w:szCs w:val="24"/>
        </w:rPr>
        <w:t xml:space="preserve"> </w:t>
      </w:r>
    </w:p>
    <w:p>
      <w:pPr>
        <w:pStyle w:val="BodyTextStyle"/>
        <w:rPr/>
      </w:pPr>
      <w:r>
        <w:rPr>
          <w:rFonts w:cs="Arial" w:ascii="Arial" w:hAnsi="Arial"/>
          <w:szCs w:val="24"/>
        </w:rPr>
        <w:t xml:space="preserve">Taken </w:t>
      </w:r>
      <w:r>
        <w:rPr>
          <w:rFonts w:cs="Arial" w:ascii="Arial" w:hAnsi="Arial"/>
          <w:i/>
          <w:szCs w:val="24"/>
        </w:rPr>
        <w:t>in toto</w:t>
      </w:r>
      <w:r>
        <w:rPr>
          <w:rFonts w:cs="Arial" w:ascii="Arial" w:hAnsi="Arial"/>
          <w:szCs w:val="24"/>
        </w:rPr>
        <w:t>, the proposed WestConnect TCA and LLC Agreement reserve too many rights for the PTOs, granting them veto authority over RTO action, preventing the RTO from controlling its own tariff, and ensuring that the RTO is not independent of market participants.  The Commission should require the PTOs to work with all stakeholders to develop a governance structure that is truly independent.</w:t>
      </w:r>
    </w:p>
    <w:p>
      <w:pPr>
        <w:pStyle w:val="Heading2"/>
        <w:numPr>
          <w:ilvl w:val="0"/>
          <w:numId w:val="0"/>
        </w:numPr>
        <w:ind w:hanging="0" w:start="1080" w:end="0"/>
        <w:rPr>
          <w:rFonts w:ascii="Arial" w:hAnsi="Arial" w:cs="Arial"/>
          <w:szCs w:val="24"/>
        </w:rPr>
      </w:pPr>
      <w:r>
        <w:rPr>
          <w:rFonts w:cs="Arial" w:ascii="Arial" w:hAnsi="Arial"/>
          <w:szCs w:val="24"/>
        </w:rPr>
      </w:r>
    </w:p>
    <w:p>
      <w:pPr>
        <w:pStyle w:val="Heading2"/>
        <w:ind w:hanging="0" w:start="0"/>
        <w:rPr>
          <w:rFonts w:ascii="Arial" w:hAnsi="Arial" w:cs="Arial"/>
          <w:szCs w:val="24"/>
        </w:rPr>
      </w:pPr>
      <w:r>
        <w:rPr>
          <w:rFonts w:cs="Arial" w:ascii="Arial" w:hAnsi="Arial"/>
          <w:szCs w:val="24"/>
        </w:rPr>
        <w:t>The Commission Should Require All RTO Load To Take Service Under The WestConnect Tariff</w:t>
      </w:r>
    </w:p>
    <w:p>
      <w:pPr>
        <w:pStyle w:val="BodyTextStyle"/>
        <w:rPr/>
      </w:pPr>
      <w:r>
        <w:rPr>
          <w:rFonts w:cs="Arial" w:ascii="Arial" w:hAnsi="Arial"/>
          <w:szCs w:val="24"/>
        </w:rPr>
        <w:t>In order to create a robust competitive market, EPSA believes that all load, including bundled native load and load under existing transmission contracts, should take service under the RTO tariff.  While it may be important to “balance the desire to honor existing contractual arrangements with the need for a uniform approach for transmission pricing,”</w:t>
      </w:r>
      <w:r>
        <w:rPr>
          <w:rStyle w:val="FootnoteCharacters"/>
          <w:rStyle w:val="FootnoteReference"/>
          <w:rFonts w:cs="Arial" w:ascii="Arial" w:hAnsi="Arial"/>
          <w:szCs w:val="24"/>
        </w:rPr>
        <w:footnoteReference w:id="19"/>
      </w:r>
      <w:r>
        <w:rPr>
          <w:rFonts w:cs="Arial" w:ascii="Arial" w:hAnsi="Arial"/>
          <w:szCs w:val="24"/>
        </w:rPr>
        <w:t xml:space="preserve"> grandfathering of existing contracts and exclusion of load from the RTO OATT rates, terms and conditions should be strictly limited.  The WestConnect proposal, however, excludes a significant portion of PTO load from the tariff, favoring the PTOs over other transmission users.</w:t>
      </w:r>
    </w:p>
    <w:p>
      <w:pPr>
        <w:pStyle w:val="BodyTextStyle"/>
        <w:rPr>
          <w:rFonts w:ascii="Arial" w:hAnsi="Arial" w:cs="Arial"/>
          <w:szCs w:val="24"/>
        </w:rPr>
      </w:pPr>
      <w:r>
        <w:rPr>
          <w:rFonts w:cs="Arial" w:ascii="Arial" w:hAnsi="Arial"/>
          <w:szCs w:val="24"/>
        </w:rPr>
        <w:t>The TCA provides that almost all existing contracts may remain outside the tariff – only PTO-to-PTO contracts that involve only transmission must be converted.</w:t>
      </w:r>
      <w:r>
        <w:rPr>
          <w:rStyle w:val="FootnoteCharacters"/>
          <w:rStyle w:val="FootnoteReference"/>
          <w:rFonts w:cs="Arial" w:ascii="Arial" w:hAnsi="Arial"/>
          <w:szCs w:val="24"/>
        </w:rPr>
        <w:footnoteReference w:id="20"/>
      </w:r>
      <w:r>
        <w:rPr>
          <w:rFonts w:cs="Arial" w:ascii="Arial" w:hAnsi="Arial"/>
          <w:szCs w:val="24"/>
        </w:rPr>
        <w:t xml:space="preserve">  Furthermore, WestConnect must protect existing contract renewal terms, ensuring that some existing contracts may continue in force, outside the WestConnect OATT, indefinitely.</w:t>
      </w:r>
      <w:r>
        <w:rPr>
          <w:rStyle w:val="FootnoteCharacters"/>
          <w:rStyle w:val="FootnoteReference"/>
          <w:rFonts w:cs="Arial" w:ascii="Arial" w:hAnsi="Arial"/>
          <w:szCs w:val="24"/>
        </w:rPr>
        <w:footnoteReference w:id="21"/>
      </w:r>
      <w:r>
        <w:rPr>
          <w:rFonts w:cs="Arial" w:ascii="Arial" w:hAnsi="Arial"/>
          <w:szCs w:val="24"/>
        </w:rPr>
        <w:t xml:space="preserve">  Compounding this problem, the WestConnect Tariff defines an Existing Contract as one executed prior to one-hundred eighty days before the Independence Date.</w:t>
      </w:r>
      <w:r>
        <w:rPr>
          <w:rStyle w:val="FootnoteCharacters"/>
          <w:rStyle w:val="FootnoteReference"/>
          <w:rFonts w:cs="Arial" w:ascii="Arial" w:hAnsi="Arial"/>
          <w:szCs w:val="24"/>
        </w:rPr>
        <w:footnoteReference w:id="22"/>
      </w:r>
      <w:r>
        <w:rPr>
          <w:rFonts w:cs="Arial" w:ascii="Arial" w:hAnsi="Arial"/>
          <w:szCs w:val="24"/>
        </w:rPr>
        <w:t xml:space="preserve">  As the PTOs have discretion to postpone the RTO Independence Date, it is likely that some contracts will be executed after a Commission order in this proceeding, with full knowledge that the contract will be an Existing Contract, placing load outside the operation of the tariff.  Consistent with RTOs approved to date, the Commission should require WestConnect to define Existing Contracts as contracts executed prior to the first Commission order approving the WestConnect RTO.</w:t>
      </w:r>
      <w:r>
        <w:rPr>
          <w:rStyle w:val="FootnoteCharacters"/>
          <w:rStyle w:val="FootnoteReference"/>
          <w:rFonts w:cs="Arial" w:ascii="Arial" w:hAnsi="Arial"/>
          <w:szCs w:val="24"/>
        </w:rPr>
        <w:footnoteReference w:id="23"/>
      </w:r>
      <w:r>
        <w:rPr>
          <w:rFonts w:cs="Arial" w:ascii="Arial" w:hAnsi="Arial"/>
          <w:szCs w:val="24"/>
        </w:rPr>
        <w:t xml:space="preserve">  In addition, the Commission should require parties to existing contracts to negotiate in good faith to convert existing contracts to the WestConnect Tariff, or require the PTOs to adopt a measured approach to convert Existing Contracts to the WestConnect Tariff.</w:t>
      </w:r>
      <w:r>
        <w:rPr>
          <w:rStyle w:val="FootnoteCharacters"/>
          <w:rStyle w:val="FootnoteReference"/>
          <w:rFonts w:cs="Arial" w:ascii="Arial" w:hAnsi="Arial"/>
          <w:szCs w:val="24"/>
        </w:rPr>
        <w:footnoteReference w:id="24"/>
      </w:r>
    </w:p>
    <w:p>
      <w:pPr>
        <w:pStyle w:val="Heading2"/>
        <w:ind w:hanging="0" w:start="0"/>
        <w:rPr>
          <w:rFonts w:ascii="Arial" w:hAnsi="Arial" w:cs="Arial"/>
          <w:szCs w:val="24"/>
        </w:rPr>
      </w:pPr>
      <w:r>
        <w:rPr>
          <w:rFonts w:cs="Arial" w:ascii="Arial" w:hAnsi="Arial"/>
          <w:szCs w:val="24"/>
        </w:rPr>
        <w:t>Congestion Management and Ancillary Services</w:t>
      </w:r>
    </w:p>
    <w:p>
      <w:pPr>
        <w:pStyle w:val="BodyTextStyle"/>
        <w:rPr/>
      </w:pPr>
      <w:r>
        <w:rPr>
          <w:rFonts w:cs="Arial" w:ascii="Arial" w:hAnsi="Arial"/>
          <w:szCs w:val="24"/>
        </w:rPr>
        <w:t>The preference for the PTOs is evident in the Congestion Management structure proposed for WestConnect.  The WestConnect RTO will manage Intra-Zonal Congestion through the use of voluntary Congestion Redispatch bids.  To the extent that there are insufficient voluntary Congestion Redispatch bids, WestConnect may exercise authority to order rescheduling of generator units or dispatchable demands.</w:t>
      </w:r>
      <w:r>
        <w:rPr>
          <w:rStyle w:val="FootnoteCharacters"/>
          <w:rStyle w:val="FootnoteReference"/>
          <w:rFonts w:cs="Arial" w:ascii="Arial" w:hAnsi="Arial"/>
          <w:szCs w:val="24"/>
        </w:rPr>
        <w:footnoteReference w:id="25"/>
      </w:r>
      <w:r>
        <w:rPr>
          <w:rFonts w:cs="Arial" w:ascii="Arial" w:hAnsi="Arial"/>
          <w:szCs w:val="24"/>
        </w:rPr>
        <w:t xml:space="preserve">   Appendix A provides that payments made to Scheduling Coordinators for mandatory rescheduling are made pursuant to the Ancillary Services provisions of Appendix D which provide that Congestion Redispatch service is provided by contractually committing to WestConnect through Congestion Redispatch service bids.   The reference is confusing, however, as Appendix B: Scheduling, provides that each bid must specify a “capacity bid ($/MW) . . . (note that for Congestion Redispatch and Supplemental Energy, this capacity price is deemed to be zero ($0/MW)).”</w:t>
      </w:r>
      <w:r>
        <w:rPr>
          <w:rStyle w:val="FootnoteCharacters"/>
          <w:rStyle w:val="FootnoteReference"/>
          <w:rFonts w:cs="Arial" w:ascii="Arial" w:hAnsi="Arial"/>
          <w:szCs w:val="24"/>
        </w:rPr>
        <w:footnoteReference w:id="26"/>
      </w:r>
      <w:r>
        <w:rPr>
          <w:rFonts w:cs="Arial" w:ascii="Arial" w:hAnsi="Arial"/>
          <w:szCs w:val="24"/>
        </w:rPr>
        <w:t xml:space="preserve">   EPSA requests that the Commission clarify that generators subject to mandatory rescheduling receive compensation for costs incurred, including lost opportunity costs.</w:t>
      </w:r>
    </w:p>
    <w:p>
      <w:pPr>
        <w:pStyle w:val="BodyTextStyle"/>
        <w:rPr/>
      </w:pPr>
      <w:r>
        <w:rPr>
          <w:rFonts w:cs="Arial" w:ascii="Arial" w:hAnsi="Arial"/>
          <w:szCs w:val="24"/>
        </w:rPr>
        <w:t>For Inter-Zonal congestion at FTR Interfaces</w:t>
      </w:r>
      <w:r>
        <w:rPr>
          <w:rStyle w:val="FootnoteCharacters"/>
          <w:rStyle w:val="FootnoteReference"/>
          <w:rFonts w:cs="Arial" w:ascii="Arial" w:hAnsi="Arial"/>
          <w:szCs w:val="24"/>
        </w:rPr>
        <w:footnoteReference w:id="27"/>
      </w:r>
      <w:r>
        <w:rPr>
          <w:rFonts w:cs="Arial" w:ascii="Arial" w:hAnsi="Arial"/>
          <w:szCs w:val="24"/>
        </w:rPr>
        <w:t xml:space="preserve"> and Scheduling Points</w:t>
      </w:r>
      <w:r>
        <w:rPr>
          <w:rStyle w:val="FootnoteCharacters"/>
          <w:rStyle w:val="FootnoteReference"/>
          <w:rFonts w:cs="Arial" w:ascii="Arial" w:hAnsi="Arial"/>
          <w:szCs w:val="24"/>
        </w:rPr>
        <w:footnoteReference w:id="28"/>
      </w:r>
      <w:r>
        <w:rPr>
          <w:rFonts w:cs="Arial" w:ascii="Arial" w:hAnsi="Arial"/>
          <w:szCs w:val="24"/>
        </w:rPr>
        <w:t xml:space="preserve"> WestConnect though will rely on Firm Transmission Rights,</w:t>
      </w:r>
      <w:r>
        <w:rPr>
          <w:rStyle w:val="FootnoteCharacters"/>
          <w:rStyle w:val="FootnoteReference"/>
          <w:rFonts w:cs="Arial" w:ascii="Arial" w:hAnsi="Arial"/>
          <w:szCs w:val="24"/>
        </w:rPr>
        <w:footnoteReference w:id="29"/>
      </w:r>
      <w:r>
        <w:rPr>
          <w:rFonts w:cs="Arial" w:ascii="Arial" w:hAnsi="Arial"/>
          <w:szCs w:val="24"/>
        </w:rPr>
        <w:t xml:space="preserve"> Recallable Transmission Rights, Non-Firm Transmission Rights and Non-Converted Rights.  To the extent that the Objective Transmission Capability of a FTR Interface or Scheduling Point requires reduction, WestConnect first will curtail NTR’s, then RTRs and FTRs.</w:t>
      </w:r>
      <w:r>
        <w:rPr>
          <w:rStyle w:val="FootnoteCharacters"/>
          <w:rStyle w:val="FootnoteReference"/>
          <w:rFonts w:cs="Arial" w:ascii="Arial" w:hAnsi="Arial"/>
          <w:szCs w:val="24"/>
        </w:rPr>
        <w:footnoteReference w:id="30"/>
      </w:r>
      <w:r>
        <w:rPr>
          <w:rFonts w:cs="Arial" w:ascii="Arial" w:hAnsi="Arial"/>
          <w:szCs w:val="24"/>
        </w:rPr>
        <w:t xml:space="preserve">  While the congestion management structure proposed for WestConnect is not inherently objectionable, the manner in which the PTOs seek to implement the structure will insure that incumbent transmission owners maintain a competitive advantage.</w:t>
      </w:r>
    </w:p>
    <w:p>
      <w:pPr>
        <w:pStyle w:val="BodyTextStyle"/>
        <w:rPr/>
      </w:pPr>
      <w:r>
        <w:rPr>
          <w:rFonts w:cs="Arial" w:ascii="Arial" w:hAnsi="Arial"/>
          <w:szCs w:val="24"/>
        </w:rPr>
        <w:t>For example, Appendix A provides that PTOs “will have priority over other bidders to receive FTR allocations” in the auction of Firm Transmission Rights.</w:t>
      </w:r>
      <w:r>
        <w:rPr>
          <w:rStyle w:val="FootnoteCharacters"/>
          <w:rStyle w:val="FootnoteReference"/>
          <w:rFonts w:cs="Arial" w:ascii="Arial" w:hAnsi="Arial"/>
          <w:szCs w:val="24"/>
        </w:rPr>
        <w:footnoteReference w:id="31"/>
      </w:r>
      <w:r>
        <w:rPr>
          <w:rFonts w:cs="Arial" w:ascii="Arial" w:hAnsi="Arial"/>
          <w:szCs w:val="24"/>
        </w:rPr>
        <w:t xml:space="preserve">  The WestConnect proponents offer no justification for the preference.  In fact, the preference for PTOs would appear to be contrary to the requirements of Order 2000 that “limited transmission capacity is used by Market Participants that value the use most highly.”</w:t>
      </w:r>
      <w:r>
        <w:rPr>
          <w:rStyle w:val="FootnoteCharacters"/>
          <w:rStyle w:val="FootnoteReference"/>
          <w:rFonts w:cs="Arial" w:ascii="Arial" w:hAnsi="Arial"/>
          <w:szCs w:val="24"/>
        </w:rPr>
        <w:footnoteReference w:id="32"/>
      </w:r>
      <w:r>
        <w:rPr>
          <w:rFonts w:cs="Arial" w:ascii="Arial" w:hAnsi="Arial"/>
          <w:szCs w:val="24"/>
        </w:rPr>
        <w:t xml:space="preserve">   While the PTO “must bid the Maximum Allowable Bid” for all required FTRs” the bidding requirement is hollow given that auction revenue is credited to “FTR Requirements Load of the FTR Interface or Scheduling Point.”   EPSA requests that the Commission reject the PTO bid preference. </w:t>
      </w:r>
    </w:p>
    <w:p>
      <w:pPr>
        <w:pStyle w:val="BodyTextStyle"/>
        <w:rPr>
          <w:rFonts w:ascii="Arial" w:hAnsi="Arial" w:cs="Arial"/>
          <w:szCs w:val="24"/>
        </w:rPr>
      </w:pPr>
      <w:r>
        <w:rPr>
          <w:rFonts w:cs="Arial" w:ascii="Arial" w:hAnsi="Arial"/>
          <w:szCs w:val="24"/>
        </w:rPr>
        <w:t xml:space="preserve">Finally, as noted above, the WestConnect proposal excludes existing contracts from the terms of the OATT.  This exclusion includes removing the capacity of those contracts from the calculation of Operating Transfer Capability (“OTC”), thus reducing the available FTRs by the capacity of existing contracts.  These existing contracts should be placed under the OATT, including the congestion management proposal.    </w:t>
      </w:r>
    </w:p>
    <w:p>
      <w:pPr>
        <w:pStyle w:val="Heading2"/>
        <w:ind w:hanging="0" w:start="0"/>
        <w:rPr>
          <w:rFonts w:ascii="Arial" w:hAnsi="Arial" w:cs="Arial"/>
          <w:szCs w:val="24"/>
        </w:rPr>
      </w:pPr>
      <w:r>
        <w:rPr>
          <w:rFonts w:cs="Arial" w:ascii="Arial" w:hAnsi="Arial"/>
          <w:szCs w:val="24"/>
        </w:rPr>
        <w:t>WestConnect Should Adopt The GridFlorida Market Monitoring Plan</w:t>
      </w:r>
    </w:p>
    <w:p>
      <w:pPr>
        <w:pStyle w:val="BodyTextStyle"/>
        <w:rPr>
          <w:rFonts w:ascii="Arial" w:hAnsi="Arial" w:cs="Arial"/>
          <w:szCs w:val="24"/>
        </w:rPr>
      </w:pPr>
      <w:r>
        <w:rPr>
          <w:rFonts w:cs="Arial" w:ascii="Arial" w:hAnsi="Arial"/>
          <w:szCs w:val="24"/>
        </w:rPr>
        <w:t>The WestConnect Market Monitoring proposal is devoid of detail.  The PTOs commit only to form an independent Market Monitoring Unit within the RTO, which will develop criteria, procedures, standards and specifications to be used in monitoring markets and market participants for evidence of exercise of market power.</w:t>
      </w:r>
      <w:r>
        <w:rPr>
          <w:rStyle w:val="FootnoteCharacters"/>
          <w:rStyle w:val="FootnoteReference"/>
          <w:rFonts w:cs="Arial" w:ascii="Arial" w:hAnsi="Arial"/>
          <w:szCs w:val="24"/>
        </w:rPr>
        <w:footnoteReference w:id="33"/>
      </w:r>
      <w:r>
        <w:rPr>
          <w:rFonts w:cs="Arial" w:ascii="Arial" w:hAnsi="Arial"/>
          <w:szCs w:val="24"/>
        </w:rPr>
        <w:t xml:space="preserve">  EPSA fully supports the GridFlorida Market Monitoring plan, which was developed through a collaborative stakeholder process.</w:t>
      </w:r>
      <w:r>
        <w:rPr>
          <w:rStyle w:val="FootnoteCharacters"/>
          <w:rStyle w:val="FootnoteReference"/>
          <w:rFonts w:cs="Arial" w:ascii="Arial" w:hAnsi="Arial"/>
          <w:szCs w:val="24"/>
        </w:rPr>
        <w:footnoteReference w:id="34"/>
      </w:r>
    </w:p>
    <w:p>
      <w:pPr>
        <w:pStyle w:val="BodyTextStyle"/>
        <w:rPr/>
      </w:pPr>
      <w:r>
        <w:rPr>
          <w:rFonts w:cs="Arial" w:ascii="Arial" w:hAnsi="Arial"/>
          <w:szCs w:val="24"/>
        </w:rPr>
        <w:t>The GridFlorida Market Monitor is an independent corporation that examines compliance with market rules, competitive practices of individual Market Participants and GridFlorida, and market power and market power abuses.</w:t>
      </w:r>
      <w:r>
        <w:rPr>
          <w:rStyle w:val="FootnoteCharacters"/>
          <w:rStyle w:val="FootnoteReference"/>
          <w:rFonts w:cs="Arial" w:ascii="Arial" w:hAnsi="Arial"/>
          <w:szCs w:val="24"/>
        </w:rPr>
        <w:footnoteReference w:id="35"/>
      </w:r>
      <w:r>
        <w:rPr>
          <w:rFonts w:cs="Arial" w:ascii="Arial" w:hAnsi="Arial"/>
          <w:szCs w:val="24"/>
        </w:rPr>
        <w:t xml:space="preserve">  The Market Monitor has authority to seek resolution of market power abuses through informal negotiation, issuance of a demand letter instructing participants to cease anticompetitive actions or filing a Complaint with the Commission.</w:t>
      </w:r>
      <w:r>
        <w:rPr>
          <w:rStyle w:val="FootnoteCharacters"/>
          <w:rStyle w:val="FootnoteReference"/>
          <w:rFonts w:cs="Arial" w:ascii="Arial" w:hAnsi="Arial"/>
          <w:szCs w:val="24"/>
        </w:rPr>
        <w:footnoteReference w:id="36"/>
      </w:r>
      <w:r>
        <w:rPr>
          <w:rFonts w:cs="Arial" w:ascii="Arial" w:hAnsi="Arial"/>
          <w:szCs w:val="24"/>
        </w:rPr>
        <w:t xml:space="preserve">  In addition, the Market Monitor may request Commission approval of enforcement mechanisms (to be applied prospectively) and may request commercially sensitive material to establish market power abuses, with Commission approval.</w:t>
      </w:r>
      <w:r>
        <w:rPr>
          <w:rStyle w:val="FootnoteCharacters"/>
          <w:rStyle w:val="FootnoteReference"/>
          <w:rFonts w:cs="Arial" w:ascii="Arial" w:hAnsi="Arial"/>
          <w:szCs w:val="24"/>
        </w:rPr>
        <w:footnoteReference w:id="37"/>
      </w:r>
      <w:r>
        <w:rPr>
          <w:rFonts w:cs="Arial" w:ascii="Arial" w:hAnsi="Arial"/>
          <w:szCs w:val="24"/>
        </w:rPr>
        <w:t xml:space="preserve">  The Commission should require WestConnect to adopt the GridFlorida Market Monitoring plan or establish that their final plan, including applicable criteria, is superior to the GridFlorida plan.</w:t>
      </w:r>
    </w:p>
    <w:p>
      <w:pPr>
        <w:pStyle w:val="Heading2"/>
        <w:ind w:hanging="0" w:start="0"/>
        <w:rPr>
          <w:rFonts w:ascii="Arial" w:hAnsi="Arial" w:cs="Arial"/>
          <w:szCs w:val="24"/>
        </w:rPr>
      </w:pPr>
      <w:r>
        <w:rPr>
          <w:rFonts w:cs="Arial" w:ascii="Arial" w:hAnsi="Arial"/>
          <w:szCs w:val="24"/>
        </w:rPr>
        <w:t>WestConnect’s Pricing and Rate Methodology Is Unjust and Discriminatory</w:t>
      </w:r>
    </w:p>
    <w:p>
      <w:pPr>
        <w:pStyle w:val="BodyTextStyle"/>
        <w:rPr/>
      </w:pPr>
      <w:r>
        <w:rPr>
          <w:rFonts w:cs="Arial" w:ascii="Arial" w:hAnsi="Arial"/>
          <w:szCs w:val="24"/>
        </w:rPr>
        <w:t>EPSA notes that the WestConnect pricing and revenue methodology is incomplete, and does not include actual transmission rates or an end-state rate methodology.</w:t>
      </w:r>
      <w:r>
        <w:rPr>
          <w:rStyle w:val="FootnoteCharacters"/>
          <w:rStyle w:val="FootnoteReference"/>
          <w:rFonts w:cs="Arial" w:ascii="Arial" w:hAnsi="Arial"/>
          <w:szCs w:val="24"/>
        </w:rPr>
        <w:footnoteReference w:id="38"/>
      </w:r>
      <w:r>
        <w:rPr>
          <w:rFonts w:cs="Arial" w:ascii="Arial" w:hAnsi="Arial"/>
          <w:szCs w:val="24"/>
        </w:rPr>
        <w:t xml:space="preserve">  EPSA, therefore, is not in a position to fully address the rate proposal.  Several deficiencies in the proposal stand out, however.  First, the PTOs do not commit to transition to a single, region-wide average rate, or even to consider such a rate design in the future.</w:t>
      </w:r>
      <w:r>
        <w:rPr>
          <w:rStyle w:val="FootnoteCharacters"/>
          <w:rStyle w:val="FootnoteReference"/>
          <w:rFonts w:cs="Arial" w:ascii="Arial" w:hAnsi="Arial"/>
          <w:szCs w:val="24"/>
        </w:rPr>
        <w:footnoteReference w:id="39"/>
      </w:r>
      <w:r>
        <w:rPr>
          <w:rFonts w:cs="Arial" w:ascii="Arial" w:hAnsi="Arial"/>
          <w:szCs w:val="24"/>
        </w:rPr>
        <w:t xml:space="preserve">  In addition, PTOs serving load outside the RTO footprint do not pay the Wheeling Out Rate, but instead pay the Access Area Rate for the PTO’s own pricing zone.</w:t>
      </w:r>
      <w:r>
        <w:rPr>
          <w:rStyle w:val="FootnoteCharacters"/>
          <w:rStyle w:val="FootnoteReference"/>
          <w:rFonts w:cs="Arial" w:ascii="Arial" w:hAnsi="Arial"/>
          <w:szCs w:val="24"/>
        </w:rPr>
        <w:footnoteReference w:id="40"/>
      </w:r>
      <w:r>
        <w:rPr>
          <w:rFonts w:cs="Arial" w:ascii="Arial" w:hAnsi="Arial"/>
          <w:szCs w:val="24"/>
        </w:rPr>
        <w:t xml:space="preserve">  Generators that engage in wheeling transactions would pay a higher rate for such transactions than would the PTOs.</w:t>
      </w:r>
    </w:p>
    <w:p>
      <w:pPr>
        <w:pStyle w:val="Heading2"/>
        <w:keepNext w:val="true"/>
        <w:ind w:hanging="0" w:start="0"/>
        <w:rPr>
          <w:rFonts w:ascii="Arial" w:hAnsi="Arial" w:cs="Arial"/>
          <w:szCs w:val="24"/>
        </w:rPr>
      </w:pPr>
      <w:r>
        <w:rPr>
          <w:rFonts w:cs="Arial" w:ascii="Arial" w:hAnsi="Arial"/>
          <w:szCs w:val="24"/>
        </w:rPr>
        <w:t xml:space="preserve">Interconnection Procedures and Interconnection Agreement </w:t>
      </w:r>
    </w:p>
    <w:p>
      <w:pPr>
        <w:pStyle w:val="BodyTextStyle"/>
        <w:ind w:firstLine="720" w:end="0"/>
        <w:rPr/>
      </w:pPr>
      <w:r>
        <w:rPr>
          <w:rFonts w:cs="Arial" w:ascii="Arial" w:hAnsi="Arial"/>
          <w:szCs w:val="24"/>
        </w:rPr>
        <w:t>Appendix Q of WestConnect’s proposed OATT sets forth the procedures for interconnection to Access Authority Facilities</w:t>
      </w:r>
      <w:r>
        <w:rPr>
          <w:rStyle w:val="FootnoteCharacters"/>
          <w:rStyle w:val="FootnoteReference"/>
          <w:rFonts w:cs="Arial" w:ascii="Arial" w:hAnsi="Arial"/>
          <w:szCs w:val="24"/>
        </w:rPr>
        <w:footnoteReference w:id="41"/>
      </w:r>
      <w:r>
        <w:rPr>
          <w:rFonts w:cs="Arial" w:ascii="Arial" w:hAnsi="Arial"/>
          <w:szCs w:val="24"/>
        </w:rPr>
        <w:t xml:space="preserve"> and information regarding the interconnection agreement process.  The Commission should defer resolution of Appendix Q issues until the conclusion of the generic proceeding on interconnection agreements and procedures (“Generic Proceeding”).</w:t>
      </w:r>
      <w:r>
        <w:rPr>
          <w:rStyle w:val="FootnoteCharacters"/>
          <w:rStyle w:val="FootnoteReference"/>
          <w:rFonts w:cs="Arial" w:ascii="Arial" w:hAnsi="Arial"/>
          <w:szCs w:val="24"/>
        </w:rPr>
        <w:footnoteReference w:id="42"/>
      </w:r>
      <w:r>
        <w:rPr>
          <w:rFonts w:cs="Arial" w:ascii="Arial" w:hAnsi="Arial"/>
          <w:szCs w:val="24"/>
        </w:rPr>
        <w:t xml:space="preserve">  It is an appropriate and useful preservation of resources to delay action on Appendix Q at this point in time because the very same issues presented by Appendix Q will be addressed in the Generic Proceeding.</w:t>
      </w:r>
      <w:r>
        <w:rPr>
          <w:rStyle w:val="FootnoteCharacters"/>
          <w:rStyle w:val="FootnoteReference"/>
          <w:rFonts w:cs="Arial" w:ascii="Arial" w:hAnsi="Arial"/>
          <w:szCs w:val="24"/>
        </w:rPr>
        <w:footnoteReference w:id="43"/>
      </w:r>
      <w:r>
        <w:rPr>
          <w:rFonts w:cs="Arial" w:ascii="Arial" w:hAnsi="Arial"/>
          <w:szCs w:val="24"/>
        </w:rPr>
        <w:t xml:space="preserve">  </w:t>
      </w:r>
    </w:p>
    <w:p>
      <w:pPr>
        <w:pStyle w:val="BodyTextStyle"/>
        <w:ind w:firstLine="720" w:end="0"/>
        <w:rPr/>
      </w:pPr>
      <w:r>
        <w:rPr>
          <w:rFonts w:cs="Arial" w:ascii="Arial" w:hAnsi="Arial"/>
          <w:szCs w:val="24"/>
        </w:rPr>
        <w:t>Moreover, problems associated with the lack of complete RTO independence and unduly favorable treatment of transmission owners also infect Appendix Q.  For example, Appendix Q improperly grants the PTOs too much input and decision-making authority throughout the interconnection process,</w:t>
      </w:r>
      <w:r>
        <w:rPr>
          <w:rStyle w:val="FootnoteCharacters"/>
          <w:rStyle w:val="FootnoteReference"/>
          <w:rFonts w:cs="Arial" w:ascii="Arial" w:hAnsi="Arial"/>
          <w:szCs w:val="24"/>
        </w:rPr>
        <w:footnoteReference w:id="44"/>
      </w:r>
      <w:r>
        <w:rPr>
          <w:rFonts w:cs="Arial" w:ascii="Arial" w:hAnsi="Arial"/>
          <w:szCs w:val="24"/>
        </w:rPr>
        <w:t xml:space="preserve"> in conflict with Order No. 2000 and subsequent orders.</w:t>
      </w:r>
      <w:r>
        <w:rPr>
          <w:rStyle w:val="FootnoteCharacters"/>
          <w:rStyle w:val="FootnoteReference"/>
          <w:rFonts w:cs="Arial" w:ascii="Arial" w:hAnsi="Arial"/>
          <w:szCs w:val="24"/>
        </w:rPr>
        <w:footnoteReference w:id="45"/>
      </w:r>
      <w:r>
        <w:rPr>
          <w:rFonts w:cs="Arial" w:ascii="Arial" w:hAnsi="Arial"/>
          <w:szCs w:val="24"/>
        </w:rPr>
        <w:t xml:space="preserve">   Appendix Q also provides transmission credits to interconnection customers only if WestConnect owns the facilities, in violation of Commission policy.  As the Commission has emphasized, independence is compromised when transmission owners are overly involved in the interconnection process.</w:t>
      </w:r>
      <w:r>
        <w:rPr>
          <w:rStyle w:val="FootnoteCharacters"/>
          <w:rStyle w:val="FootnoteReference"/>
          <w:rFonts w:cs="Arial" w:ascii="Arial" w:hAnsi="Arial"/>
          <w:szCs w:val="24"/>
        </w:rPr>
        <w:footnoteReference w:id="46"/>
      </w:r>
      <w:r>
        <w:rPr>
          <w:rFonts w:cs="Arial" w:ascii="Arial" w:hAnsi="Arial"/>
          <w:szCs w:val="24"/>
        </w:rPr>
        <w:t xml:space="preserve">  EPSA agrees that over involvement by transmission owners in the interconnection process creates both the opportunity for bias in favor of the transmission owner’s generation and the perception of bias.  Both circumstances erect barriers to entry by new generation.  Given the inappropriate authority granted to the PTOs in Appendix Q, the role delegated to the PTOs should be assumed instead by WestConnect.  </w:t>
      </w:r>
    </w:p>
    <w:p>
      <w:pPr>
        <w:pStyle w:val="BodyTextStyle"/>
        <w:ind w:firstLine="720" w:end="0"/>
        <w:rPr>
          <w:rFonts w:ascii="Arial" w:hAnsi="Arial" w:cs="Arial"/>
          <w:szCs w:val="24"/>
        </w:rPr>
      </w:pPr>
      <w:r>
        <w:rPr>
          <w:rFonts w:cs="Arial" w:ascii="Arial" w:hAnsi="Arial"/>
          <w:szCs w:val="24"/>
        </w:rPr>
        <w:t>In addition, Section Q.10(c)(iv) addresses transmission credits granted by WestConnect to an interconnection customer; however, it is unclear for which facilities transmission credits will be granted, and thus whether the provision of transmission credits complies with Commission policy.  WestConnect should conform Section Q.10(c)(iv) to the Commission’s policy regarding “credits for network upgrades associated with the interconnection of a generating facility has been, and continues to be, that all network upgrade costs (the cost of all facilities from the point where the generator connects to the grid), including those necessary to remedy short-circuit and stability problems, should be credited back to the customer that funded the upgrades once delivery service begins.”</w:t>
      </w:r>
      <w:r>
        <w:rPr>
          <w:rStyle w:val="FootnoteCharacters"/>
          <w:rStyle w:val="FootnoteReference"/>
          <w:rFonts w:cs="Arial" w:ascii="Arial" w:hAnsi="Arial"/>
          <w:szCs w:val="24"/>
        </w:rPr>
        <w:footnoteReference w:id="47"/>
      </w:r>
      <w:r>
        <w:rPr>
          <w:rFonts w:cs="Arial" w:ascii="Arial" w:hAnsi="Arial"/>
          <w:szCs w:val="24"/>
        </w:rPr>
        <w:t xml:space="preserve">  Indeed, the Commission required GridFlorida to provide credits for all upgrades towards all services noting that the Commission’s credit policies apply in the RTO context, as well.</w:t>
      </w:r>
      <w:r>
        <w:rPr>
          <w:rStyle w:val="FootnoteCharacters"/>
          <w:rStyle w:val="FootnoteReference"/>
          <w:rFonts w:cs="Arial" w:ascii="Arial" w:hAnsi="Arial"/>
          <w:szCs w:val="24"/>
        </w:rPr>
        <w:footnoteReference w:id="48"/>
      </w:r>
      <w:r>
        <w:rPr>
          <w:rFonts w:cs="Arial" w:ascii="Arial" w:hAnsi="Arial"/>
          <w:szCs w:val="24"/>
        </w:rPr>
        <w:t xml:space="preserve">  WestConnect has provided no basis to treat the proposed RTO any differently, and Appendix Q should be revised to provide for credits, consistent with the Commission’s current policy, including interest.</w:t>
      </w:r>
      <w:r>
        <w:rPr>
          <w:rStyle w:val="FootnoteCharacters"/>
          <w:rFonts w:cs="Arial" w:ascii="Arial" w:hAnsi="Arial"/>
          <w:szCs w:val="24"/>
        </w:rPr>
        <w:t xml:space="preserve"> </w:t>
      </w:r>
      <w:r>
        <w:rPr>
          <w:rStyle w:val="FootnoteCharacters"/>
          <w:rStyle w:val="FootnoteReference"/>
          <w:rFonts w:cs="Arial" w:ascii="Arial" w:hAnsi="Arial"/>
          <w:szCs w:val="24"/>
        </w:rPr>
        <w:footnoteReference w:id="49"/>
      </w:r>
    </w:p>
    <w:p>
      <w:pPr>
        <w:pStyle w:val="BodyTextStyle"/>
        <w:ind w:firstLine="720" w:end="0"/>
        <w:rPr/>
      </w:pPr>
      <w:r>
        <w:rPr>
          <w:rFonts w:cs="Arial" w:ascii="Arial" w:hAnsi="Arial"/>
          <w:szCs w:val="24"/>
        </w:rPr>
        <w:t>Furthermore, Section Q.10 improperly distinguishes between PTO ownership and WestConnect ownership of Interconnection Facilities.</w:t>
      </w:r>
      <w:r>
        <w:rPr>
          <w:rStyle w:val="FootnoteCharacters"/>
          <w:rStyle w:val="FootnoteReference"/>
          <w:rFonts w:cs="Arial" w:ascii="Arial" w:hAnsi="Arial"/>
          <w:szCs w:val="24"/>
        </w:rPr>
        <w:footnoteReference w:id="50"/>
      </w:r>
      <w:r>
        <w:rPr>
          <w:rFonts w:cs="Arial" w:ascii="Arial" w:hAnsi="Arial"/>
          <w:szCs w:val="24"/>
        </w:rPr>
        <w:t xml:space="preserve">  Section Q.10 provides that if a PTO owns the facilities, the PTO will reimburse the interconnection customer by making amortized payments over the book life of the facilities,</w:t>
      </w:r>
      <w:r>
        <w:rPr>
          <w:rStyle w:val="FootnoteCharacters"/>
          <w:rStyle w:val="FootnoteReference"/>
          <w:rFonts w:cs="Arial" w:ascii="Arial" w:hAnsi="Arial"/>
          <w:szCs w:val="24"/>
        </w:rPr>
        <w:footnoteReference w:id="51"/>
      </w:r>
      <w:r>
        <w:rPr>
          <w:rFonts w:cs="Arial" w:ascii="Arial" w:hAnsi="Arial"/>
          <w:szCs w:val="24"/>
        </w:rPr>
        <w:t xml:space="preserve"> whereas if WestConnect owns the facilities, WestConnect will grant transmission credits in accordance with FERC policy.</w:t>
      </w:r>
      <w:r>
        <w:rPr>
          <w:rStyle w:val="FootnoteCharacters"/>
          <w:rStyle w:val="FootnoteReference"/>
          <w:rFonts w:cs="Arial" w:ascii="Arial" w:hAnsi="Arial"/>
          <w:szCs w:val="24"/>
        </w:rPr>
        <w:footnoteReference w:id="52"/>
      </w:r>
      <w:r>
        <w:rPr>
          <w:rFonts w:cs="Arial" w:ascii="Arial" w:hAnsi="Arial"/>
          <w:szCs w:val="24"/>
        </w:rPr>
        <w:t xml:space="preserve">  No rational basis exists for such distinction, and the PTOs should be required to provide credits on a timely basis, commensurate with the term of any subsequent transmission reservation.</w:t>
      </w:r>
    </w:p>
    <w:p>
      <w:pPr>
        <w:pStyle w:val="BodyTextStyle"/>
        <w:ind w:firstLine="720" w:end="0"/>
        <w:rPr>
          <w:rFonts w:ascii="Arial" w:hAnsi="Arial" w:cs="Arial"/>
          <w:szCs w:val="24"/>
        </w:rPr>
      </w:pPr>
      <w:r>
        <w:rPr>
          <w:rFonts w:cs="Arial" w:ascii="Arial" w:hAnsi="Arial"/>
          <w:szCs w:val="24"/>
        </w:rPr>
        <w:t>These issues are but two of the numerous issues raised by WestConnect’s proposed interconnection procedures and interconnection agreement.  As stated above, EPSA recommends that the Commission defer resolution of Appendix Q issues until the conclusion of the Generic Proceeding to conserve resources and provide uniformity for all interconnection customers.</w:t>
      </w:r>
    </w:p>
    <w:p>
      <w:pPr>
        <w:pStyle w:val="Heading1"/>
        <w:ind w:hanging="0" w:start="0"/>
        <w:rPr>
          <w:rFonts w:ascii="Arial" w:hAnsi="Arial" w:cs="Arial"/>
          <w:b/>
          <w:szCs w:val="24"/>
        </w:rPr>
      </w:pPr>
      <w:r>
        <w:rPr>
          <w:rFonts w:cs="Arial" w:ascii="Arial" w:hAnsi="Arial"/>
          <w:b/>
          <w:szCs w:val="24"/>
        </w:rPr>
        <w:t>CONCLUSION</w:t>
      </w:r>
    </w:p>
    <w:p>
      <w:pPr>
        <w:pStyle w:val="BodyTextStyle"/>
        <w:rPr>
          <w:rFonts w:ascii="Arial" w:hAnsi="Arial" w:cs="Arial"/>
          <w:szCs w:val="24"/>
        </w:rPr>
      </w:pPr>
      <w:r>
        <w:rPr>
          <w:rFonts w:cs="Arial" w:ascii="Arial" w:hAnsi="Arial"/>
          <w:szCs w:val="24"/>
        </w:rPr>
        <w:t>WHEREFORE, the Commission should rule on the WestConnect filing in a manner consistent with EPSA’s comments.</w:t>
      </w:r>
    </w:p>
    <w:p>
      <w:pPr>
        <w:pStyle w:val="Normal"/>
        <w:rPr>
          <w:rFonts w:ascii="Arial" w:hAnsi="Arial" w:cs="Arial"/>
          <w:szCs w:val="24"/>
        </w:rPr>
      </w:pPr>
      <w:r>
        <w:rPr>
          <w:rFonts w:cs="Arial" w:ascii="Arial" w:hAnsi="Arial"/>
          <w:szCs w:val="24"/>
        </w:rPr>
      </w:r>
    </w:p>
    <w:tbl>
      <w:tblPr>
        <w:tblW w:w="9388" w:type="dxa"/>
        <w:jc w:val="start"/>
        <w:tblInd w:w="0" w:type="dxa"/>
        <w:tblLayout w:type="fixed"/>
        <w:tblCellMar>
          <w:top w:w="0" w:type="dxa"/>
          <w:start w:w="108" w:type="dxa"/>
          <w:bottom w:w="0" w:type="dxa"/>
          <w:end w:w="108" w:type="dxa"/>
        </w:tblCellMar>
      </w:tblPr>
      <w:tblGrid>
        <w:gridCol w:w="4694"/>
        <w:gridCol w:w="4694"/>
      </w:tblGrid>
      <w:tr>
        <w:trPr/>
        <w:tc>
          <w:tcPr>
            <w:tcW w:w="4694" w:type="dxa"/>
            <w:tcBorders/>
          </w:tcPr>
          <w:p>
            <w:pPr>
              <w:pStyle w:val="Normal"/>
              <w:rPr>
                <w:rFonts w:ascii="Arial" w:hAnsi="Arial" w:cs="Arial"/>
                <w:szCs w:val="24"/>
              </w:rPr>
            </w:pPr>
            <w:r>
              <w:rPr>
                <w:rFonts w:cs="Arial" w:ascii="Arial" w:hAnsi="Arial"/>
                <w:szCs w:val="24"/>
              </w:rPr>
              <w:t>November 15, 2001</w:t>
            </w:r>
          </w:p>
        </w:tc>
        <w:tc>
          <w:tcPr>
            <w:tcW w:w="4694" w:type="dxa"/>
            <w:tcBorders/>
          </w:tcPr>
          <w:p>
            <w:pPr>
              <w:pStyle w:val="Normal"/>
              <w:rPr>
                <w:rFonts w:ascii="Arial" w:hAnsi="Arial" w:cs="Arial"/>
                <w:szCs w:val="24"/>
              </w:rPr>
            </w:pPr>
            <w:r>
              <w:rPr>
                <w:rFonts w:cs="Arial" w:ascii="Arial" w:hAnsi="Arial"/>
                <w:szCs w:val="24"/>
              </w:rPr>
              <w:t>Respectfully submitted,</w:t>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t>_____________________________</w:t>
            </w:r>
          </w:p>
        </w:tc>
      </w:tr>
      <w:tr>
        <w:trPr/>
        <w:tc>
          <w:tcPr>
            <w:tcW w:w="4694" w:type="dxa"/>
            <w:tcBorders/>
          </w:tcPr>
          <w:p>
            <w:pPr>
              <w:pStyle w:val="Normal"/>
              <w:rPr>
                <w:rFonts w:ascii="Arial" w:hAnsi="Arial" w:cs="Arial"/>
                <w:szCs w:val="24"/>
              </w:rPr>
            </w:pPr>
            <w:r>
              <w:rPr>
                <w:rFonts w:cs="Arial" w:ascii="Arial" w:hAnsi="Arial"/>
                <w:szCs w:val="24"/>
              </w:rPr>
              <w:t>Julie Simon, Vice President of Policy</w:t>
            </w:r>
          </w:p>
          <w:p>
            <w:pPr>
              <w:pStyle w:val="Normal"/>
              <w:rPr>
                <w:rFonts w:ascii="Arial" w:hAnsi="Arial" w:cs="Arial"/>
                <w:szCs w:val="24"/>
              </w:rPr>
            </w:pPr>
            <w:r>
              <w:rPr>
                <w:rFonts w:cs="Arial" w:ascii="Arial" w:hAnsi="Arial"/>
                <w:szCs w:val="24"/>
              </w:rPr>
              <w:t>Erin Perrigo, Manager of Policy</w:t>
            </w:r>
          </w:p>
          <w:p>
            <w:pPr>
              <w:pStyle w:val="Normal"/>
              <w:rPr>
                <w:rFonts w:ascii="Arial" w:hAnsi="Arial" w:cs="Arial"/>
                <w:szCs w:val="24"/>
              </w:rPr>
            </w:pPr>
            <w:r>
              <w:rPr>
                <w:rFonts w:cs="Arial" w:ascii="Arial" w:hAnsi="Arial"/>
                <w:szCs w:val="24"/>
              </w:rPr>
              <w:t>Electric Power Supply Association</w:t>
            </w:r>
          </w:p>
          <w:p>
            <w:pPr>
              <w:pStyle w:val="Normal"/>
              <w:rPr/>
            </w:pPr>
            <w:r>
              <w:rPr>
                <w:rFonts w:cs="Arial" w:ascii="Arial" w:hAnsi="Arial"/>
                <w:szCs w:val="24"/>
              </w:rPr>
              <w:t>1401 New York Avenue, N.W., 11</w:t>
            </w:r>
            <w:r>
              <w:rPr>
                <w:rFonts w:cs="Arial" w:ascii="Arial" w:hAnsi="Arial"/>
                <w:szCs w:val="24"/>
                <w:vertAlign w:val="superscript"/>
              </w:rPr>
              <w:t>th</w:t>
            </w:r>
            <w:r>
              <w:rPr>
                <w:rFonts w:cs="Arial" w:ascii="Arial" w:hAnsi="Arial"/>
                <w:szCs w:val="24"/>
              </w:rPr>
              <w:t xml:space="preserve"> Floor</w:t>
            </w:r>
          </w:p>
          <w:p>
            <w:pPr>
              <w:pStyle w:val="Normal"/>
              <w:rPr>
                <w:rFonts w:ascii="Arial" w:hAnsi="Arial" w:cs="Arial"/>
                <w:szCs w:val="24"/>
              </w:rPr>
            </w:pPr>
            <w:r>
              <w:rPr>
                <w:rFonts w:cs="Arial" w:ascii="Arial" w:hAnsi="Arial"/>
                <w:szCs w:val="24"/>
              </w:rPr>
              <w:t>Washington, D.C.  20005</w:t>
            </w:r>
          </w:p>
        </w:tc>
        <w:tc>
          <w:tcPr>
            <w:tcW w:w="4694" w:type="dxa"/>
            <w:tcBorders/>
          </w:tcPr>
          <w:p>
            <w:pPr>
              <w:pStyle w:val="Normal"/>
              <w:rPr>
                <w:rFonts w:ascii="Arial" w:hAnsi="Arial" w:cs="Arial"/>
                <w:szCs w:val="24"/>
              </w:rPr>
            </w:pPr>
            <w:r>
              <w:rPr>
                <w:rFonts w:cs="Arial" w:ascii="Arial" w:hAnsi="Arial"/>
                <w:szCs w:val="24"/>
              </w:rPr>
              <w:t>Larry F. Eisenstat</w:t>
            </w:r>
          </w:p>
          <w:p>
            <w:pPr>
              <w:pStyle w:val="Normal"/>
              <w:rPr>
                <w:rFonts w:ascii="Arial" w:hAnsi="Arial" w:cs="Arial"/>
                <w:szCs w:val="24"/>
              </w:rPr>
            </w:pPr>
            <w:r>
              <w:rPr>
                <w:rFonts w:cs="Arial" w:ascii="Arial" w:hAnsi="Arial"/>
                <w:szCs w:val="24"/>
              </w:rPr>
              <w:t>Michael J. Rustum</w:t>
            </w:r>
          </w:p>
          <w:p>
            <w:pPr>
              <w:pStyle w:val="Normal"/>
              <w:rPr>
                <w:rFonts w:ascii="Arial" w:hAnsi="Arial" w:cs="Arial"/>
                <w:szCs w:val="24"/>
              </w:rPr>
            </w:pPr>
            <w:r>
              <w:rPr>
                <w:rFonts w:cs="Arial" w:ascii="Arial" w:hAnsi="Arial"/>
                <w:szCs w:val="24"/>
              </w:rPr>
              <w:t>Frederick D. Ochsenhirt</w:t>
            </w:r>
          </w:p>
          <w:p>
            <w:pPr>
              <w:pStyle w:val="Normal"/>
              <w:rPr>
                <w:rFonts w:ascii="Arial" w:hAnsi="Arial" w:cs="Arial"/>
                <w:szCs w:val="24"/>
              </w:rPr>
            </w:pPr>
            <w:r>
              <w:rPr>
                <w:rFonts w:cs="Arial" w:ascii="Arial" w:hAnsi="Arial"/>
                <w:szCs w:val="24"/>
              </w:rPr>
              <w:t>Dickstein Shapiro Morin &amp; Oshinsky, LLP</w:t>
            </w:r>
          </w:p>
          <w:p>
            <w:pPr>
              <w:pStyle w:val="Normal"/>
              <w:rPr>
                <w:rFonts w:ascii="Arial" w:hAnsi="Arial" w:cs="Arial"/>
                <w:szCs w:val="24"/>
              </w:rPr>
            </w:pPr>
            <w:r>
              <w:rPr>
                <w:rFonts w:cs="Arial" w:ascii="Arial" w:hAnsi="Arial"/>
                <w:szCs w:val="24"/>
              </w:rPr>
              <w:t>2101 L Street, N.W.</w:t>
            </w:r>
          </w:p>
          <w:p>
            <w:pPr>
              <w:pStyle w:val="Normal"/>
              <w:rPr>
                <w:rFonts w:ascii="Arial" w:hAnsi="Arial" w:cs="Arial"/>
                <w:szCs w:val="24"/>
              </w:rPr>
            </w:pPr>
            <w:r>
              <w:rPr>
                <w:rFonts w:cs="Arial" w:ascii="Arial" w:hAnsi="Arial"/>
                <w:szCs w:val="24"/>
              </w:rPr>
              <w:t>Washington, D.C.  20037</w:t>
            </w:r>
          </w:p>
        </w:tc>
      </w:tr>
      <w:tr>
        <w:trPr/>
        <w:tc>
          <w:tcPr>
            <w:tcW w:w="4694" w:type="dxa"/>
            <w:tcBorders/>
          </w:tcPr>
          <w:p>
            <w:pPr>
              <w:pStyle w:val="Normal"/>
              <w:snapToGrid w:val="false"/>
              <w:rPr>
                <w:rFonts w:ascii="Arial" w:hAnsi="Arial" w:cs="Arial"/>
                <w:szCs w:val="24"/>
              </w:rPr>
            </w:pPr>
            <w:r>
              <w:rPr>
                <w:rFonts w:cs="Arial" w:ascii="Arial" w:hAnsi="Arial"/>
                <w:szCs w:val="24"/>
              </w:rPr>
            </w:r>
          </w:p>
        </w:tc>
        <w:tc>
          <w:tcPr>
            <w:tcW w:w="4694" w:type="dxa"/>
            <w:tcBorders/>
          </w:tcPr>
          <w:p>
            <w:pPr>
              <w:pStyle w:val="Normal"/>
              <w:snapToGrid w:val="false"/>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t>Attorneys for the Electric Power</w:t>
            </w:r>
          </w:p>
          <w:p>
            <w:pPr>
              <w:pStyle w:val="Normal"/>
              <w:rPr>
                <w:rFonts w:ascii="Arial" w:hAnsi="Arial" w:cs="Arial"/>
                <w:szCs w:val="24"/>
              </w:rPr>
            </w:pPr>
            <w:r>
              <w:rPr>
                <w:rFonts w:eastAsia="Arial" w:cs="Arial" w:ascii="Arial" w:hAnsi="Arial"/>
                <w:szCs w:val="24"/>
              </w:rPr>
              <w:t xml:space="preserve">  </w:t>
            </w:r>
            <w:r>
              <w:rPr>
                <w:rFonts w:cs="Arial" w:ascii="Arial" w:hAnsi="Arial"/>
                <w:szCs w:val="24"/>
              </w:rPr>
              <w:t>Supply Association</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432" w:bottom="1440"/>
          <w:pgNumType w:start="1" w:fmt="decimal"/>
          <w:formProt w:val="false"/>
          <w:titlePg/>
          <w:textDirection w:val="lrTb"/>
          <w:docGrid w:type="default" w:linePitch="360" w:charSpace="0"/>
        </w:sectPr>
        <w:pStyle w:val="TitleStyle"/>
        <w:spacing w:lineRule="exact" w:line="260"/>
        <w:rPr>
          <w:rFonts w:ascii="Arial" w:hAnsi="Arial" w:cs="Arial"/>
          <w:szCs w:val="24"/>
          <w:u w:val="single"/>
        </w:rPr>
      </w:pPr>
      <w:r>
        <w:rPr>
          <w:rFonts w:cs="Arial" w:ascii="Arial" w:hAnsi="Arial"/>
          <w:szCs w:val="24"/>
          <w:u w:val="single"/>
        </w:rPr>
      </w:r>
    </w:p>
    <w:p>
      <w:pPr>
        <w:pStyle w:val="TitleStyle"/>
        <w:spacing w:lineRule="exact" w:line="260"/>
        <w:rPr>
          <w:rFonts w:ascii="Arial" w:hAnsi="Arial" w:cs="Arial"/>
          <w:szCs w:val="24"/>
          <w:u w:val="single"/>
        </w:rPr>
      </w:pPr>
      <w:r>
        <w:rPr>
          <w:rFonts w:cs="Arial" w:ascii="Arial" w:hAnsi="Arial"/>
          <w:szCs w:val="24"/>
          <w:u w:val="single"/>
        </w:rPr>
        <w:t>CErtificate of service</w:t>
      </w:r>
    </w:p>
    <w:p>
      <w:pPr>
        <w:pStyle w:val="TitleStyle"/>
        <w:rPr>
          <w:rFonts w:ascii="Arial" w:hAnsi="Arial" w:cs="Arial"/>
          <w:szCs w:val="24"/>
          <w:u w:val="single"/>
        </w:rPr>
      </w:pPr>
      <w:r>
        <w:rPr>
          <w:rFonts w:cs="Arial" w:ascii="Arial" w:hAnsi="Arial"/>
          <w:szCs w:val="24"/>
          <w:u w:val="single"/>
        </w:rPr>
      </w:r>
    </w:p>
    <w:p>
      <w:pPr>
        <w:pStyle w:val="BodyTextStyle"/>
        <w:rPr>
          <w:rFonts w:ascii="Arial" w:hAnsi="Arial" w:cs="Arial"/>
          <w:szCs w:val="24"/>
        </w:rPr>
      </w:pPr>
      <w:r>
        <w:rPr>
          <w:rFonts w:cs="Arial" w:ascii="Arial" w:hAnsi="Arial"/>
          <w:szCs w:val="24"/>
        </w:rPr>
        <w:t>I hereby certify that I have served a copy of the foregoing document by first class United States mail, postage prepaid, upon each person designated on the official service list compiled by the Secretary in this proceeding.</w:t>
      </w:r>
    </w:p>
    <w:p>
      <w:pPr>
        <w:pStyle w:val="BodyTextStyle"/>
        <w:rPr/>
      </w:pPr>
      <w:r>
        <w:rPr>
          <w:rFonts w:cs="Arial" w:ascii="Arial" w:hAnsi="Arial"/>
          <w:caps/>
          <w:szCs w:val="24"/>
        </w:rPr>
        <w:t>d</w:t>
      </w:r>
      <w:r>
        <w:rPr>
          <w:rFonts w:cs="Arial" w:ascii="Arial" w:hAnsi="Arial"/>
          <w:szCs w:val="24"/>
        </w:rPr>
        <w:t>ated at Washington, D.C. this 15</w:t>
      </w:r>
      <w:r>
        <w:rPr>
          <w:rFonts w:cs="Arial" w:ascii="Arial" w:hAnsi="Arial"/>
          <w:szCs w:val="24"/>
          <w:vertAlign w:val="superscript"/>
        </w:rPr>
        <w:t>th</w:t>
      </w:r>
      <w:r>
        <w:rPr>
          <w:rFonts w:cs="Arial" w:ascii="Arial" w:hAnsi="Arial"/>
          <w:szCs w:val="24"/>
        </w:rPr>
        <w:t xml:space="preserve"> day of November, 2001.</w:t>
      </w:r>
    </w:p>
    <w:p>
      <w:pPr>
        <w:pStyle w:val="Normal"/>
        <w:rPr>
          <w:rFonts w:ascii="Arial" w:hAnsi="Arial" w:cs="Arial"/>
          <w:szCs w:val="24"/>
        </w:rPr>
      </w:pPr>
      <w:r>
        <w:rPr>
          <w:rFonts w:cs="Arial" w:ascii="Arial" w:hAnsi="Arial"/>
          <w:szCs w:val="24"/>
        </w:rPr>
      </w:r>
    </w:p>
    <w:p>
      <w:pPr>
        <w:pStyle w:val="SignatureBlock"/>
        <w:spacing w:lineRule="auto" w:line="240"/>
        <w:rPr>
          <w:rFonts w:ascii="Arial" w:hAnsi="Arial" w:cs="Arial"/>
          <w:szCs w:val="24"/>
        </w:rPr>
      </w:pPr>
      <w:r>
        <w:rPr>
          <w:rFonts w:cs="Arial" w:ascii="Arial" w:hAnsi="Arial"/>
          <w:szCs w:val="24"/>
        </w:rPr>
      </w:r>
    </w:p>
    <w:p>
      <w:pPr>
        <w:pStyle w:val="SignatureBlock"/>
        <w:spacing w:lineRule="auto" w:line="240"/>
        <w:rPr>
          <w:rFonts w:ascii="Arial" w:hAnsi="Arial" w:cs="Arial"/>
          <w:szCs w:val="24"/>
        </w:rPr>
      </w:pPr>
      <w:r>
        <w:rPr>
          <w:rFonts w:cs="Arial" w:ascii="Arial" w:hAnsi="Arial"/>
          <w:szCs w:val="24"/>
        </w:rPr>
        <w:t>___________________________________</w:t>
      </w:r>
    </w:p>
    <w:p>
      <w:pPr>
        <w:pStyle w:val="SignatureBlock"/>
        <w:spacing w:lineRule="auto" w:line="240"/>
        <w:rPr>
          <w:rFonts w:ascii="Arial" w:hAnsi="Arial" w:cs="Arial"/>
          <w:szCs w:val="24"/>
        </w:rPr>
      </w:pPr>
      <w:r>
        <w:rPr>
          <w:rFonts w:cs="Arial" w:ascii="Arial" w:hAnsi="Arial"/>
          <w:szCs w:val="24"/>
        </w:rPr>
        <w:t>Frederick D. Ochsenhirt</w:t>
      </w:r>
    </w:p>
    <w:p>
      <w:pPr>
        <w:pStyle w:val="BodyTextStyle"/>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1367345</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4</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TB1T04!.DOC</w:t>
    </w:r>
    <w:r>
      <w:rPr>
        <w:sz w:val="12"/>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1367345</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4</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TB1T04!.DOC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Regional Transmission Organizations</w:t>
      </w:r>
      <w:r>
        <w:rPr>
          <w:rFonts w:cs="Arial" w:ascii="Arial" w:hAnsi="Arial"/>
          <w:sz w:val="20"/>
        </w:rPr>
        <w:t xml:space="preserve">, Order No. 2000, Fed. Reg. 809 (January 6, 2000), FERC Stats. &amp; Regs. ¶ 31,089 (1999), </w:t>
      </w:r>
      <w:r>
        <w:rPr>
          <w:rFonts w:cs="Arial" w:ascii="Arial" w:hAnsi="Arial"/>
          <w:i/>
          <w:sz w:val="20"/>
        </w:rPr>
        <w:t>order on reh’g</w:t>
      </w:r>
      <w:r>
        <w:rPr>
          <w:rFonts w:cs="Arial" w:ascii="Arial" w:hAnsi="Arial"/>
          <w:sz w:val="20"/>
        </w:rPr>
        <w:t>, Order No. 2000-A, 65 Fed. Reg. 12,088 (March 8, 2000), FERC Stats. &amp; Regs. ¶ 31,092 (2000).</w:t>
      </w:r>
    </w:p>
  </w:footnote>
  <w:footnote w:id="3">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The comments contained in this filing represent the position of EPSA as an organization, but not necessarily the view of any particular member with respect to any issue.</w:t>
      </w:r>
    </w:p>
  </w:footnote>
  <w:footnote w:id="4">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Electricity Market Design and Structure</w:t>
      </w:r>
      <w:r>
        <w:rPr>
          <w:rFonts w:cs="Arial" w:ascii="Arial" w:hAnsi="Arial"/>
          <w:sz w:val="20"/>
        </w:rPr>
        <w:t xml:space="preserve">, Docket No. RM01-12-000, Order Providing Guidance on Continued Processing of RTO Filings (Issued November 7, 2001), </w:t>
      </w:r>
      <w:r>
        <w:rPr>
          <w:rFonts w:cs="Arial" w:ascii="Arial" w:hAnsi="Arial"/>
          <w:i/>
          <w:sz w:val="20"/>
        </w:rPr>
        <w:t>slip op.</w:t>
      </w:r>
      <w:r>
        <w:rPr>
          <w:rFonts w:cs="Arial" w:ascii="Arial" w:hAnsi="Arial"/>
          <w:sz w:val="20"/>
        </w:rPr>
        <w:t xml:space="preserve"> at 2-3.</w:t>
      </w:r>
    </w:p>
  </w:footnote>
  <w:footnote w:id="5">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The Desert STAR Bylaws provided eight stakeholder classes: Transmission Owners, Load Serving Entities, Generators, Transmission Dependent Utilities, Power Marketers, Large Retail Customers, Small Retail Customers and Utility Commissions.  These classes are retained in the WestConnect LLC Agreement.</w:t>
      </w:r>
    </w:p>
  </w:footnote>
  <w:footnote w:id="6">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The PTOs themselves concede that the WestConnect filing is not the product of the Desert STAR stakeholder process, but of “negotiations” among the “WestConnect Applicants.”  Petition at 2-3.</w:t>
      </w:r>
    </w:p>
  </w:footnote>
  <w:footnote w:id="7">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Order No. 2000 at 31,047.</w:t>
      </w:r>
    </w:p>
  </w:footnote>
  <w:footnote w:id="8">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Id.</w:t>
      </w:r>
      <w:r>
        <w:rPr>
          <w:rFonts w:cs="Arial" w:ascii="Arial" w:hAnsi="Arial"/>
          <w:sz w:val="20"/>
        </w:rPr>
        <w:t xml:space="preserve"> at 31,074. </w:t>
      </w:r>
    </w:p>
  </w:footnote>
  <w:footnote w:id="9">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 xml:space="preserve">The TCA, Attachment 4 to the Petition, is not designated a </w:t>
      </w:r>
      <w:r>
        <w:rPr>
          <w:rFonts w:cs="Arial" w:ascii="Arial" w:hAnsi="Arial"/>
          <w:i/>
          <w:sz w:val="20"/>
        </w:rPr>
        <w:t>pro forma</w:t>
      </w:r>
      <w:r>
        <w:rPr>
          <w:rFonts w:cs="Arial" w:ascii="Arial" w:hAnsi="Arial"/>
          <w:sz w:val="20"/>
        </w:rPr>
        <w:t xml:space="preserve"> agreement, but the Petition states that each PTO will have its own “particular WestConnect TCA.”  </w:t>
      </w:r>
      <w:r>
        <w:rPr>
          <w:rFonts w:cs="Arial" w:ascii="Arial" w:hAnsi="Arial"/>
          <w:i/>
          <w:sz w:val="20"/>
        </w:rPr>
        <w:t>Id.</w:t>
      </w:r>
      <w:r>
        <w:rPr>
          <w:rFonts w:cs="Arial" w:ascii="Arial" w:hAnsi="Arial"/>
          <w:sz w:val="20"/>
        </w:rPr>
        <w:t xml:space="preserve"> At 3, fn. 2.</w:t>
      </w:r>
    </w:p>
  </w:footnote>
  <w:footnote w:id="10">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TCA § 5.1.</w:t>
      </w:r>
    </w:p>
  </w:footnote>
  <w:footnote w:id="11">
    <w:p>
      <w:pPr>
        <w:pStyle w:val="FootnoteText"/>
        <w:spacing w:lineRule="auto" w:line="240" w:before="0" w:after="0"/>
        <w:rPr/>
      </w:pPr>
      <w:r>
        <w:rPr>
          <w:rStyle w:val="FootnoteCharacters"/>
        </w:rPr>
        <w:footnoteRef/>
      </w:r>
      <w:r>
        <w:rPr>
          <w:rFonts w:cs="Arial" w:ascii="Arial" w:hAnsi="Arial"/>
          <w:sz w:val="20"/>
        </w:rPr>
        <w:t>TCA § 5.2.1.</w:t>
      </w:r>
    </w:p>
  </w:footnote>
  <w:footnote w:id="12">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TCA § 10.1.</w:t>
      </w:r>
    </w:p>
  </w:footnote>
  <w:footnote w:id="13">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TCA § 4.1.1.</w:t>
      </w:r>
    </w:p>
  </w:footnote>
  <w:footnote w:id="14">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TCA § 6.2.13.</w:t>
      </w:r>
    </w:p>
  </w:footnote>
  <w:footnote w:id="15">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TCA § 6.2.</w:t>
      </w:r>
    </w:p>
  </w:footnote>
  <w:footnote w:id="16">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LLC Agreement, Schedule D.</w:t>
      </w:r>
    </w:p>
  </w:footnote>
  <w:footnote w:id="17">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Id.</w:t>
      </w:r>
    </w:p>
  </w:footnote>
  <w:footnote w:id="18">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Id.</w:t>
      </w:r>
    </w:p>
  </w:footnote>
  <w:footnote w:id="19">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Order No. 2000 at 31,205.</w:t>
      </w:r>
    </w:p>
  </w:footnote>
  <w:footnote w:id="20">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TCA § 6.2.8.</w:t>
      </w:r>
    </w:p>
  </w:footnote>
  <w:footnote w:id="21">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Id.</w:t>
      </w:r>
    </w:p>
  </w:footnote>
  <w:footnote w:id="22">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WestConnect OATT, Appendix E at § E.1.1.</w:t>
      </w:r>
    </w:p>
  </w:footnote>
  <w:footnote w:id="23">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See, e.g., Midwest Independent Transmission System Operator, Inc.</w:t>
      </w:r>
      <w:r>
        <w:rPr>
          <w:rFonts w:cs="Arial" w:ascii="Arial" w:hAnsi="Arial"/>
          <w:sz w:val="20"/>
        </w:rPr>
        <w:t>, 84 FERC ¶61,231 (1998).</w:t>
      </w:r>
    </w:p>
  </w:footnote>
  <w:footnote w:id="24">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See</w:t>
      </w:r>
      <w:r>
        <w:rPr>
          <w:rFonts w:cs="Arial" w:ascii="Arial" w:hAnsi="Arial"/>
          <w:sz w:val="20"/>
        </w:rPr>
        <w:t xml:space="preserve"> Order No. 2000 at 31,205; </w:t>
      </w:r>
      <w:r>
        <w:rPr>
          <w:rFonts w:cs="Arial" w:ascii="Arial" w:hAnsi="Arial"/>
          <w:i/>
          <w:sz w:val="20"/>
        </w:rPr>
        <w:t>see also</w:t>
      </w:r>
      <w:r>
        <w:rPr>
          <w:rFonts w:cs="Arial" w:ascii="Arial" w:hAnsi="Arial"/>
          <w:sz w:val="20"/>
        </w:rPr>
        <w:t xml:space="preserve"> </w:t>
      </w:r>
      <w:r>
        <w:rPr>
          <w:rFonts w:cs="Arial" w:ascii="Arial" w:hAnsi="Arial"/>
          <w:i/>
          <w:sz w:val="20"/>
        </w:rPr>
        <w:t>GridFlorida, LLC</w:t>
      </w:r>
      <w:r>
        <w:rPr>
          <w:rFonts w:cs="Arial" w:ascii="Arial" w:hAnsi="Arial"/>
          <w:sz w:val="20"/>
        </w:rPr>
        <w:t>, 94 FERC ¶ 61,363 at 62,337 (2001) (approving GridFlorida’s proposal for transitioning existing agreements to the GridFlorida OATT).</w:t>
      </w:r>
    </w:p>
  </w:footnote>
  <w:footnote w:id="25">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Appendix A at A-6.</w:t>
      </w:r>
    </w:p>
  </w:footnote>
  <w:footnote w:id="26">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Appendix B at B.1.8.2.1 d).</w:t>
      </w:r>
    </w:p>
  </w:footnote>
  <w:footnote w:id="27">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 xml:space="preserve">An FTR Interface is a transmission line or group of transmission lines forming a specific transmission interface point between two adjacent Congestion zones or between a WestConnect Congestion Zone and an adjacent Scheduling Point. </w:t>
      </w:r>
    </w:p>
  </w:footnote>
  <w:footnote w:id="28">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A Scheduling Point is a location at which the WestConnect Grid is connected to transmission facilities that are outside the WestConnect Operational Authority.</w:t>
      </w:r>
    </w:p>
  </w:footnote>
  <w:footnote w:id="29">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 xml:space="preserve">The filing refers to the Firm Transmission Rights as FTRs.  While EPSA has no specific objection to the use of the “FTR” acronym, EPSA requests that the Commission develop a consistent, nation-wide use of “FTR” as other RTO and congestion management proposals use the term to refer to financial transmission rights. </w:t>
      </w:r>
    </w:p>
  </w:footnote>
  <w:footnote w:id="30">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For purposes of curtailment, FTRs and RTRs are treated identically.</w:t>
      </w:r>
    </w:p>
  </w:footnote>
  <w:footnote w:id="31">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Petition at 28.</w:t>
      </w:r>
    </w:p>
  </w:footnote>
  <w:footnote w:id="32">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Order No. 2000 at 31,126.</w:t>
      </w:r>
    </w:p>
  </w:footnote>
  <w:footnote w:id="33">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WestConnect Tariff, Appendix H at § H.4.</w:t>
      </w:r>
    </w:p>
  </w:footnote>
  <w:footnote w:id="34">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GridFlorida, LLC, et al.</w:t>
      </w:r>
      <w:r>
        <w:rPr>
          <w:rFonts w:cs="Arial" w:ascii="Arial" w:hAnsi="Arial"/>
          <w:sz w:val="20"/>
        </w:rPr>
        <w:t>, 94 FERC ¶61,363 (2001)</w:t>
      </w:r>
    </w:p>
  </w:footnote>
  <w:footnote w:id="35">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Id.</w:t>
      </w:r>
      <w:r>
        <w:rPr>
          <w:rFonts w:cs="Arial" w:ascii="Arial" w:hAnsi="Arial"/>
          <w:sz w:val="20"/>
        </w:rPr>
        <w:t xml:space="preserve"> at 62,361.</w:t>
      </w:r>
    </w:p>
  </w:footnote>
  <w:footnote w:id="36">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 xml:space="preserve">Id. </w:t>
      </w:r>
      <w:r>
        <w:rPr>
          <w:rFonts w:cs="Arial" w:ascii="Arial" w:hAnsi="Arial"/>
          <w:sz w:val="20"/>
        </w:rPr>
        <w:t>at 62,362.</w:t>
      </w:r>
    </w:p>
  </w:footnote>
  <w:footnote w:id="37">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Id.</w:t>
      </w:r>
    </w:p>
  </w:footnote>
  <w:footnote w:id="38">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WestConnect Tariff, Appendix O.</w:t>
      </w:r>
    </w:p>
  </w:footnote>
  <w:footnote w:id="39">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 xml:space="preserve">The PTOs commit only to develop a “highway/zonal” rate, which would be an average rate for some transactions, but a zonal rate for other transactions.  </w:t>
      </w:r>
      <w:r>
        <w:rPr>
          <w:rFonts w:cs="Arial" w:ascii="Arial" w:hAnsi="Arial"/>
          <w:i/>
          <w:sz w:val="20"/>
        </w:rPr>
        <w:t>Id</w:t>
      </w:r>
      <w:r>
        <w:rPr>
          <w:rFonts w:cs="Arial" w:ascii="Arial" w:hAnsi="Arial"/>
          <w:sz w:val="20"/>
        </w:rPr>
        <w:t>.</w:t>
      </w:r>
    </w:p>
  </w:footnote>
  <w:footnote w:id="40">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Id.</w:t>
      </w:r>
      <w:r>
        <w:rPr>
          <w:rFonts w:cs="Arial" w:ascii="Arial" w:hAnsi="Arial"/>
          <w:sz w:val="20"/>
        </w:rPr>
        <w:t xml:space="preserve"> at § O.5.2.3.</w:t>
      </w:r>
    </w:p>
  </w:footnote>
  <w:footnote w:id="41">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 xml:space="preserve">Access Authority Facilities are defined as “the facilities over which WestConnect exercises Access Authority that consist of the facilities over which WestConnect exercises Operational Authority, as listed in Exhibit C to the applicable Transmission Control Agreement and updated in the WestConnect Grid Registry.”  OATT Attachment 1 at 2. </w:t>
      </w:r>
    </w:p>
  </w:footnote>
  <w:footnote w:id="42">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 xml:space="preserve">See </w:t>
      </w:r>
      <w:r>
        <w:rPr>
          <w:rFonts w:cs="Arial" w:ascii="Arial" w:hAnsi="Arial"/>
          <w:sz w:val="20"/>
        </w:rPr>
        <w:t xml:space="preserve">Standardizing Generator Interconnection Agreements and Procedures, Advance Notice of Proposed Rulemaking, RM02-1-000 (2001). </w:t>
      </w:r>
    </w:p>
  </w:footnote>
  <w:footnote w:id="43">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See Midwest Independent Transmission System Operator, Inc.,</w:t>
      </w:r>
      <w:r>
        <w:rPr>
          <w:rFonts w:cs="Arial" w:ascii="Arial" w:hAnsi="Arial"/>
          <w:sz w:val="20"/>
        </w:rPr>
        <w:t xml:space="preserve"> 97 FERC ¶ 61,136, </w:t>
      </w:r>
      <w:r>
        <w:rPr>
          <w:rFonts w:cs="Arial" w:ascii="Arial" w:hAnsi="Arial"/>
          <w:i/>
          <w:sz w:val="20"/>
        </w:rPr>
        <w:t xml:space="preserve"> slip op.</w:t>
      </w:r>
      <w:r>
        <w:rPr>
          <w:rFonts w:cs="Arial" w:ascii="Arial" w:hAnsi="Arial"/>
          <w:sz w:val="20"/>
        </w:rPr>
        <w:t xml:space="preserve"> at 1 (2001) (conditionally accepting Midwest ISO’s interconnection procedures and agreement for filing subject to further Commission action following the conclusion of the Generic Proceeding). </w:t>
      </w:r>
    </w:p>
  </w:footnote>
  <w:footnote w:id="44">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 xml:space="preserve">PTOs define technical interconnection standards, define the scope, methodology and assumptions used in interconnection studies, perform the interconnection studies, and analyze interconnection service requests.  OATT Appendix Q at Q.1(b), Q.2 and Q.7.6.   </w:t>
      </w:r>
    </w:p>
  </w:footnote>
  <w:footnote w:id="45">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Order No. 2000</w:t>
      </w:r>
      <w:r>
        <w:rPr>
          <w:rFonts w:cs="Arial" w:ascii="Arial" w:hAnsi="Arial"/>
          <w:i/>
          <w:sz w:val="20"/>
        </w:rPr>
        <w:t xml:space="preserve"> </w:t>
      </w:r>
      <w:r>
        <w:rPr>
          <w:rFonts w:cs="Arial" w:ascii="Arial" w:hAnsi="Arial"/>
          <w:sz w:val="20"/>
        </w:rPr>
        <w:t>at 31,108; s</w:t>
      </w:r>
      <w:r>
        <w:rPr>
          <w:rFonts w:cs="Arial" w:ascii="Arial" w:hAnsi="Arial"/>
          <w:i/>
          <w:sz w:val="20"/>
        </w:rPr>
        <w:t xml:space="preserve">ee generally, New York Independent System Operator, Inc., </w:t>
      </w:r>
      <w:r>
        <w:rPr>
          <w:rFonts w:cs="Arial" w:ascii="Arial" w:hAnsi="Arial"/>
          <w:sz w:val="20"/>
        </w:rPr>
        <w:t xml:space="preserve">97 FERC ¶ 61,118 (2001) and </w:t>
      </w:r>
      <w:r>
        <w:rPr>
          <w:rFonts w:cs="Arial" w:ascii="Arial" w:hAnsi="Arial"/>
          <w:i/>
          <w:sz w:val="20"/>
        </w:rPr>
        <w:t xml:space="preserve">PJM Interconnection LLC, </w:t>
      </w:r>
      <w:r>
        <w:rPr>
          <w:rFonts w:cs="Arial" w:ascii="Arial" w:hAnsi="Arial"/>
          <w:sz w:val="20"/>
        </w:rPr>
        <w:t>96 FERC ¶ 61,061 (2001).</w:t>
      </w:r>
    </w:p>
  </w:footnote>
  <w:footnote w:id="46">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 xml:space="preserve">As used in this context, transmission owners refers to the existing market participant transmission owners, </w:t>
      </w:r>
      <w:r>
        <w:rPr>
          <w:rFonts w:cs="Arial" w:ascii="Arial" w:hAnsi="Arial"/>
          <w:i/>
          <w:sz w:val="20"/>
        </w:rPr>
        <w:t>i.e.</w:t>
      </w:r>
      <w:r>
        <w:rPr>
          <w:rFonts w:cs="Arial" w:ascii="Arial" w:hAnsi="Arial"/>
          <w:sz w:val="20"/>
        </w:rPr>
        <w:t xml:space="preserve">, it is not the ownership of transmission that is the problem, it is the control of transmission by a competitor market participant, such as the PTOs. </w:t>
      </w:r>
      <w:r>
        <w:rPr>
          <w:rFonts w:cs="Arial" w:ascii="Arial" w:hAnsi="Arial"/>
          <w:i/>
          <w:sz w:val="20"/>
        </w:rPr>
        <w:t>See PJM Interconnection LLC</w:t>
      </w:r>
      <w:r>
        <w:rPr>
          <w:rFonts w:cs="Arial" w:ascii="Arial" w:hAnsi="Arial"/>
          <w:sz w:val="20"/>
        </w:rPr>
        <w:t>, 96 FERC ¶ 61,061 (2001).</w:t>
      </w:r>
    </w:p>
  </w:footnote>
  <w:footnote w:id="47">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Consumers Energy Co.</w:t>
      </w:r>
      <w:r>
        <w:rPr>
          <w:rFonts w:cs="Arial" w:ascii="Arial" w:hAnsi="Arial"/>
          <w:sz w:val="20"/>
        </w:rPr>
        <w:t>, 95 FERC ¶ 61,233 at 61,804 (2001).</w:t>
      </w:r>
    </w:p>
  </w:footnote>
  <w:footnote w:id="48">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GridFlorida, LLC</w:t>
      </w:r>
      <w:r>
        <w:rPr>
          <w:rFonts w:cs="Arial" w:ascii="Arial" w:hAnsi="Arial"/>
          <w:sz w:val="20"/>
        </w:rPr>
        <w:t>, 94 FERC ¶ 61,363 (2001).</w:t>
      </w:r>
    </w:p>
  </w:footnote>
  <w:footnote w:id="49">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i/>
          <w:sz w:val="20"/>
        </w:rPr>
        <w:t xml:space="preserve">See American Electric Power Serv. Corp., </w:t>
      </w:r>
      <w:r>
        <w:rPr>
          <w:rFonts w:cs="Arial" w:ascii="Arial" w:hAnsi="Arial"/>
          <w:sz w:val="20"/>
        </w:rPr>
        <w:t xml:space="preserve">97 FERC ¶ 61,098, </w:t>
      </w:r>
      <w:r>
        <w:rPr>
          <w:rFonts w:cs="Arial" w:ascii="Arial" w:hAnsi="Arial"/>
          <w:i/>
          <w:sz w:val="20"/>
        </w:rPr>
        <w:t>slip op</w:t>
      </w:r>
      <w:r>
        <w:rPr>
          <w:rFonts w:cs="Arial" w:ascii="Arial" w:hAnsi="Arial"/>
          <w:sz w:val="20"/>
        </w:rPr>
        <w:t xml:space="preserve">. at 3-4 (2001) (providing that until the Generic Proceeding is complete, transmission credits must include interest).  </w:t>
      </w:r>
    </w:p>
  </w:footnote>
  <w:footnote w:id="50">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 xml:space="preserve">Interconnection Facilities are defined as “facilities associated with the provision of Interconnection Service in accordance with the provision of Appendix Q (Interconnection Process) to the WestConnect Tariff that: (i) connect an Interconnecting Project to the point of interconnection with the WestConnect Access Authority Facilities; and (ii) are determined by WestConnect to be necessary to accommodate the interconnection in a manner that prevents any adverse impact on the operation or transfer capability of the WestConnect Grid.”  OATT Attachment 1 at 24.   </w:t>
      </w:r>
    </w:p>
  </w:footnote>
  <w:footnote w:id="51">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 xml:space="preserve">Credits must be granted in accordance with FERC policy not based on “payments amortized over the book life of such Interconnection Facilities.”  </w:t>
      </w:r>
    </w:p>
  </w:footnote>
  <w:footnote w:id="52">
    <w:p>
      <w:pPr>
        <w:pStyle w:val="FootnoteText"/>
        <w:spacing w:lineRule="auto" w:line="240" w:before="0" w:after="0"/>
        <w:rPr/>
      </w:pPr>
      <w:r>
        <w:rPr>
          <w:rStyle w:val="FootnoteCharacters"/>
        </w:rPr>
        <w:footnoteRef/>
      </w:r>
      <w:r>
        <w:rPr>
          <w:rFonts w:cs="Arial" w:ascii="Arial" w:hAnsi="Arial"/>
          <w:sz w:val="20"/>
        </w:rPr>
        <w:t xml:space="preserve"> </w:t>
      </w:r>
      <w:r>
        <w:rPr>
          <w:rFonts w:cs="Arial" w:ascii="Arial" w:hAnsi="Arial"/>
          <w:sz w:val="20"/>
        </w:rPr>
        <w:t>OATT Appendix Q at Q.10(c)(iv).</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DRAFT</w:t>
    </w:r>
  </w:p>
  <w:p>
    <w:pPr>
      <w:pStyle w:val="Header"/>
      <w:jc w:val="end"/>
      <w:rPr>
        <w:rFonts w:ascii="Arial" w:hAnsi="Arial" w:cs="Arial"/>
      </w:rPr>
    </w:pPr>
    <w:r>
      <w:rPr>
        <w:rFonts w:cs="Arial" w:ascii="Arial" w:hAnsi="Arial"/>
      </w:rPr>
      <w:t>11/12/2001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start"/>
      <w:pPr>
        <w:tabs>
          <w:tab w:val="num" w:pos="1800"/>
        </w:tabs>
        <w:ind w:start="1800" w:hanging="720"/>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Times New Roman" w:hAnsi="Galliard;Times New Roman" w:eastAsia="Times New Roman" w:cs="Galliard;Times New Roman"/>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b/>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1z0">
    <w:name w:val="WW8Num1z0"/>
    <w:qFormat/>
    <w:rPr>
      <w:rFonts w:ascii="Symbol" w:hAnsi="Symbol" w:cs="Symbol"/>
      <w:color w:val="auto"/>
      <w:sz w:val="18"/>
    </w:rPr>
  </w:style>
  <w:style w:type="character" w:styleId="WW8Num2z0">
    <w:name w:val="WW8Num2z0"/>
    <w:qFormat/>
    <w:rPr>
      <w:rFonts w:ascii="Symbol" w:hAnsi="Symbol" w:cs="Times New Roman"/>
      <w:color w:val="000000"/>
      <w:sz w:val="18"/>
      <w:szCs w:val="18"/>
    </w:rPr>
  </w:style>
  <w:style w:type="character" w:styleId="WW8Num3z0">
    <w:name w:val="WW8Num3z0"/>
    <w:qFormat/>
    <w:rPr>
      <w:rFonts w:ascii="Symbol" w:hAnsi="Symbol" w:cs="Symbol"/>
      <w:color w:val="auto"/>
      <w:sz w:val="18"/>
    </w:rPr>
  </w:style>
  <w:style w:type="character" w:styleId="WW8Num4z0">
    <w:name w:val="WW8Num4z0"/>
    <w:qFormat/>
    <w:rPr>
      <w:rFonts w:ascii="Symbol" w:hAnsi="Symbol" w:cs="Times New Roman"/>
      <w:color w:val="000000"/>
      <w:sz w:val="18"/>
      <w:szCs w:val="18"/>
    </w:rPr>
  </w:style>
  <w:style w:type="character" w:styleId="WW8Num6z0">
    <w:name w:val="WW8Num6z0"/>
    <w:qFormat/>
    <w:rPr>
      <w:rFonts w:ascii="Symbol" w:hAnsi="Symbol" w:cs="Symbol"/>
      <w:color w:val="auto"/>
      <w:sz w:val="18"/>
    </w:rPr>
  </w:style>
  <w:style w:type="character" w:styleId="WW8Num7z0">
    <w:name w:val="WW8Num7z0"/>
    <w:qFormat/>
    <w:rPr>
      <w:rFonts w:ascii="Symbol" w:hAnsi="Symbol" w:cs="Symbol"/>
      <w:color w:val="auto"/>
      <w:sz w:val="18"/>
    </w:rPr>
  </w:style>
  <w:style w:type="character" w:styleId="WW8Num8z0">
    <w:name w:val="WW8Num8z0"/>
    <w:qFormat/>
    <w:rPr>
      <w:rFonts w:ascii="Symbol" w:hAnsi="Symbol" w:cs="Symbol"/>
      <w:color w:val="auto"/>
      <w:sz w:val="18"/>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sz w:val="18"/>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sz w:val="18"/>
    </w:rPr>
  </w:style>
  <w:style w:type="character" w:styleId="WW8Num13z0">
    <w:name w:val="WW8Num13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before="0" w:after="273"/>
      <w:ind w:firstLine="1080" w:start="0" w:end="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LeftAlign">
    <w:name w:val="Left Align"/>
    <w:basedOn w:val="Normal"/>
    <w:qFormat/>
    <w:pPr>
      <w:spacing w:lineRule="auto" w:line="240"/>
    </w:pPr>
    <w:rPr>
      <w:rFonts w:ascii="Courier" w:hAnsi="Courier" w:cs="Courie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z w:val="22"/>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TitleStyle">
    <w:name w:val="Title Style"/>
    <w:basedOn w:val="Normal"/>
    <w:qFormat/>
    <w:pPr>
      <w:spacing w:lineRule="auto" w:line="240"/>
      <w:jc w:val="center"/>
    </w:pPr>
    <w:rPr>
      <w:b/>
      <w:caps/>
    </w:rPr>
  </w:style>
  <w:style w:type="paragraph" w:styleId="BodyTextIndent2">
    <w:name w:val="Body Text Indent 2"/>
    <w:basedOn w:val="Normal"/>
    <w:qFormat/>
    <w:pPr>
      <w:autoSpaceDE w:val="false"/>
      <w:spacing w:lineRule="auto" w:line="240" w:before="0" w:after="120"/>
      <w:ind w:hanging="0" w:start="360" w:end="0"/>
    </w:pPr>
    <w:rPr>
      <w:rFonts w:ascii="Times New Roman" w:hAnsi="Times New Roman" w:cs="Times New Roman"/>
      <w:sz w:val="20"/>
    </w:rPr>
  </w:style>
  <w:style w:type="paragraph" w:styleId="BodyTextIndent3">
    <w:name w:val="Body Text Indent 3"/>
    <w:basedOn w:val="Normal"/>
    <w:qFormat/>
    <w:pPr>
      <w:autoSpaceDE w:val="false"/>
      <w:spacing w:lineRule="auto" w:line="240" w:before="0" w:after="120"/>
      <w:ind w:hanging="0" w:start="360" w:end="0"/>
    </w:pPr>
    <w:rPr>
      <w:rFonts w:ascii="Times New Roman" w:hAnsi="Times New Roman" w:cs="Times New Roman"/>
      <w:sz w:val="22"/>
    </w:rPr>
  </w:style>
  <w:style w:type="paragraph" w:styleId="BodyTextIndent">
    <w:name w:val="Body Text Indent"/>
    <w:basedOn w:val="Normal"/>
    <w:pPr>
      <w:numPr>
        <w:ilvl w:val="0"/>
        <w:numId w:val="0"/>
      </w:numPr>
      <w:spacing w:lineRule="auto" w:line="360"/>
      <w:ind w:hanging="0" w:start="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2001-11-12T12:28:00Z</dcterms:created>
  <dc:creator>DSMO</dc:creator>
  <dc:description/>
  <dc:language>en-CA</dc:language>
  <cp:lastModifiedBy>Michael Reddy</cp:lastModifiedBy>
  <cp:lastPrinted>2001-11-12T10:28:00Z</cp:lastPrinted>
  <dcterms:modified xsi:type="dcterms:W3CDTF">2001-11-12T14:07:00Z</dcterms:modified>
  <cp:revision>7</cp:revision>
  <dc:subject/>
  <dc:title>EPSA WestConnect Protest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TB1T04!.DOC</vt:lpwstr>
  </property>
  <property fmtid="{D5CDD505-2E9C-101B-9397-08002B2CF9AE}" pid="3" name="DOCSDocVer">
    <vt:lpwstr>4</vt:lpwstr>
  </property>
  <property fmtid="{D5CDD505-2E9C-101B-9397-08002B2CF9AE}" pid="4" name="DOCSNumber">
    <vt:lpwstr>1367345</vt:lpwstr>
  </property>
</Properties>
</file>