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WESSEX WATER VALUATION</w:t>
      </w:r>
    </w:p>
    <w:p>
      <w:pPr>
        <w:pStyle w:val="Normal"/>
        <w:rPr>
          <w:b/>
        </w:rPr>
      </w:pPr>
      <w:r>
        <w:rPr>
          <w:b/>
        </w:rPr>
      </w:r>
    </w:p>
    <w:p>
      <w:pPr>
        <w:pStyle w:val="Normal"/>
        <w:rPr>
          <w:b/>
        </w:rPr>
      </w:pPr>
      <w:r>
        <w:rPr>
          <w:b/>
        </w:rPr>
        <w:t>Introduction</w:t>
      </w:r>
    </w:p>
    <w:p>
      <w:pPr>
        <w:pStyle w:val="Normal"/>
        <w:rPr>
          <w:b/>
        </w:rPr>
      </w:pPr>
      <w:r>
        <w:rPr>
          <w:b/>
        </w:rPr>
      </w:r>
    </w:p>
    <w:p>
      <w:pPr>
        <w:pStyle w:val="Normal"/>
        <w:rPr/>
      </w:pPr>
      <w:r>
        <w:rPr/>
        <w:t>The proposed change in USGAAP has highlighted a concern that the goodwill held in respect of ENRON’s purchase of Wessex in 1998 can no longer be justified.  The draft literature puts emphasis on equity valuations which ideally use the latest market transactions of companies.  Where such information is not available, or not reliable, the literature indicates that valuation should occur on a discounted cashflow basis.</w:t>
      </w:r>
    </w:p>
    <w:p>
      <w:pPr>
        <w:pStyle w:val="Normal"/>
        <w:rPr/>
      </w:pPr>
      <w:r>
        <w:rPr/>
      </w:r>
    </w:p>
    <w:p>
      <w:pPr>
        <w:pStyle w:val="Normal"/>
        <w:rPr/>
      </w:pPr>
      <w:r>
        <w:rPr/>
        <w:t>The purpose of this note is to consider in light of the proposed changes to accounting rules whether the current equity valuation of Wessex supports the book value of £1,272m so avoiding the need to write off existing goodwill.</w:t>
      </w:r>
    </w:p>
    <w:p>
      <w:pPr>
        <w:pStyle w:val="Normal"/>
        <w:rPr/>
      </w:pPr>
      <w:r>
        <w:rPr/>
        <w:t xml:space="preserve"> </w:t>
      </w:r>
    </w:p>
    <w:p>
      <w:pPr>
        <w:pStyle w:val="Normal"/>
        <w:rPr>
          <w:b/>
        </w:rPr>
      </w:pPr>
      <w:r>
        <w:rPr>
          <w:b/>
        </w:rPr>
        <w:t>Principles</w:t>
      </w:r>
    </w:p>
    <w:p>
      <w:pPr>
        <w:pStyle w:val="Normal"/>
        <w:rPr>
          <w:b/>
        </w:rPr>
      </w:pPr>
      <w:r>
        <w:rPr>
          <w:b/>
        </w:rPr>
      </w:r>
    </w:p>
    <w:p>
      <w:pPr>
        <w:pStyle w:val="Normal"/>
        <w:rPr/>
      </w:pPr>
      <w:r>
        <w:rPr/>
        <w:t>The UK regulatory system allows companies to earn a return on the initial floatation value of the businesses plus the net capital invested since that time.  This is known as the Regulatory asset base (RAB). The allowed rate of return is that necessary to attract finance from debt and equity providers (the cost of capital).  In principle by discounting the value of post operating cashflows by the cost of capital the business will be valued at RAB.  Returns above this sum are only possible if :</w:t>
      </w:r>
    </w:p>
    <w:p>
      <w:pPr>
        <w:pStyle w:val="Normal"/>
        <w:numPr>
          <w:ilvl w:val="0"/>
          <w:numId w:val="3"/>
        </w:numPr>
        <w:rPr/>
      </w:pPr>
      <w:r>
        <w:rPr/>
        <w:t xml:space="preserve">The company outperforms </w:t>
      </w:r>
    </w:p>
    <w:p>
      <w:pPr>
        <w:pStyle w:val="Normal"/>
        <w:numPr>
          <w:ilvl w:val="0"/>
          <w:numId w:val="3"/>
        </w:numPr>
        <w:rPr/>
      </w:pPr>
      <w:r>
        <w:rPr/>
        <w:t>The regulator allows returns above the cost of capital</w:t>
      </w:r>
    </w:p>
    <w:p>
      <w:pPr>
        <w:pStyle w:val="Normal"/>
        <w:numPr>
          <w:ilvl w:val="0"/>
          <w:numId w:val="3"/>
        </w:numPr>
        <w:rPr/>
      </w:pPr>
      <w:r>
        <w:rPr/>
        <w:t>Providers of debt or equity actually have a lower cost of capital than that assumed by the regulator</w:t>
      </w:r>
    </w:p>
    <w:p>
      <w:pPr>
        <w:pStyle w:val="Normal"/>
        <w:rPr/>
      </w:pPr>
      <w:r>
        <w:rPr/>
      </w:r>
    </w:p>
    <w:p>
      <w:pPr>
        <w:pStyle w:val="Normal"/>
        <w:rPr/>
      </w:pPr>
      <w:r>
        <w:rPr/>
        <w:t>For the last review the cost of capital was estimated as follows :</w:t>
      </w:r>
    </w:p>
    <w:p>
      <w:pPr>
        <w:pStyle w:val="Normal"/>
        <w:rPr/>
      </w:pPr>
      <w:r>
        <w:rPr/>
      </w:r>
    </w:p>
    <w:tbl>
      <w:tblPr>
        <w:tblW w:w="6804" w:type="dxa"/>
        <w:jc w:val="start"/>
        <w:tblInd w:w="0" w:type="dxa"/>
        <w:tblLayout w:type="fixed"/>
        <w:tblCellMar>
          <w:top w:w="0" w:type="dxa"/>
          <w:start w:w="108" w:type="dxa"/>
          <w:bottom w:w="0" w:type="dxa"/>
          <w:end w:w="108" w:type="dxa"/>
        </w:tblCellMar>
      </w:tblPr>
      <w:tblGrid>
        <w:gridCol w:w="567"/>
        <w:gridCol w:w="3969"/>
        <w:gridCol w:w="1134"/>
        <w:gridCol w:w="1134"/>
      </w:tblGrid>
      <w:tr>
        <w:trPr/>
        <w:tc>
          <w:tcPr>
            <w:tcW w:w="567" w:type="dxa"/>
            <w:tcBorders>
              <w:top w:val="single" w:sz="4" w:space="0" w:color="000000"/>
              <w:start w:val="single" w:sz="4" w:space="0" w:color="000000"/>
            </w:tcBorders>
          </w:tcPr>
          <w:p>
            <w:pPr>
              <w:pStyle w:val="Normal"/>
              <w:snapToGrid w:val="false"/>
              <w:rPr/>
            </w:pPr>
            <w:r>
              <w:rPr/>
            </w:r>
          </w:p>
        </w:tc>
        <w:tc>
          <w:tcPr>
            <w:tcW w:w="3969" w:type="dxa"/>
            <w:tcBorders>
              <w:top w:val="single" w:sz="4" w:space="0" w:color="000000"/>
            </w:tcBorders>
          </w:tcPr>
          <w:p>
            <w:pPr>
              <w:pStyle w:val="Normal"/>
              <w:snapToGrid w:val="false"/>
              <w:rPr/>
            </w:pPr>
            <w:r>
              <w:rPr/>
            </w:r>
          </w:p>
        </w:tc>
        <w:tc>
          <w:tcPr>
            <w:tcW w:w="1134" w:type="dxa"/>
            <w:tcBorders>
              <w:top w:val="single" w:sz="4" w:space="0" w:color="000000"/>
              <w:start w:val="single" w:sz="4" w:space="0" w:color="000000"/>
              <w:bottom w:val="single" w:sz="4" w:space="0" w:color="000000"/>
            </w:tcBorders>
          </w:tcPr>
          <w:p>
            <w:pPr>
              <w:pStyle w:val="Normal"/>
              <w:jc w:val="center"/>
              <w:rPr/>
            </w:pPr>
            <w:r>
              <w:rPr/>
              <w:t>Real</w:t>
            </w:r>
          </w:p>
        </w:tc>
        <w:tc>
          <w:tcPr>
            <w:tcW w:w="1134" w:type="dxa"/>
            <w:tcBorders>
              <w:top w:val="single" w:sz="4" w:space="0" w:color="000000"/>
              <w:bottom w:val="single" w:sz="4" w:space="0" w:color="000000"/>
              <w:end w:val="single" w:sz="4" w:space="0" w:color="000000"/>
            </w:tcBorders>
          </w:tcPr>
          <w:p>
            <w:pPr>
              <w:pStyle w:val="Normal"/>
              <w:jc w:val="center"/>
              <w:rPr/>
            </w:pPr>
            <w:r>
              <w:rPr/>
              <w:t>Nominal</w:t>
            </w:r>
          </w:p>
        </w:tc>
      </w:tr>
      <w:tr>
        <w:trPr/>
        <w:tc>
          <w:tcPr>
            <w:tcW w:w="567" w:type="dxa"/>
            <w:tcBorders>
              <w:top w:val="single" w:sz="4" w:space="0" w:color="000000"/>
              <w:start w:val="single" w:sz="4" w:space="0" w:color="000000"/>
            </w:tcBorders>
          </w:tcPr>
          <w:p>
            <w:pPr>
              <w:pStyle w:val="Normal"/>
              <w:rPr/>
            </w:pPr>
            <w:r>
              <w:rPr/>
              <w:t>1</w:t>
            </w:r>
          </w:p>
        </w:tc>
        <w:tc>
          <w:tcPr>
            <w:tcW w:w="3969" w:type="dxa"/>
            <w:tcBorders>
              <w:top w:val="single" w:sz="4" w:space="0" w:color="000000"/>
              <w:end w:val="single" w:sz="4" w:space="0" w:color="000000"/>
            </w:tcBorders>
          </w:tcPr>
          <w:p>
            <w:pPr>
              <w:pStyle w:val="Normal"/>
              <w:rPr/>
            </w:pPr>
            <w:r>
              <w:rPr/>
              <w:t>Gearing</w:t>
            </w:r>
          </w:p>
        </w:tc>
        <w:tc>
          <w:tcPr>
            <w:tcW w:w="1134" w:type="dxa"/>
            <w:tcBorders/>
          </w:tcPr>
          <w:p>
            <w:pPr>
              <w:pStyle w:val="Normal"/>
              <w:jc w:val="center"/>
              <w:rPr/>
            </w:pPr>
            <w:r>
              <w:rPr/>
              <w:t>50%</w:t>
            </w:r>
          </w:p>
        </w:tc>
        <w:tc>
          <w:tcPr>
            <w:tcW w:w="1134" w:type="dxa"/>
            <w:tcBorders>
              <w:end w:val="single" w:sz="4" w:space="0" w:color="000000"/>
            </w:tcBorders>
          </w:tcPr>
          <w:p>
            <w:pPr>
              <w:pStyle w:val="Normal"/>
              <w:jc w:val="center"/>
              <w:rPr/>
            </w:pPr>
            <w:r>
              <w:rPr/>
              <w:t>50%</w:t>
            </w:r>
          </w:p>
        </w:tc>
      </w:tr>
      <w:tr>
        <w:trPr/>
        <w:tc>
          <w:tcPr>
            <w:tcW w:w="567" w:type="dxa"/>
            <w:tcBorders>
              <w:start w:val="single" w:sz="4" w:space="0" w:color="000000"/>
            </w:tcBorders>
          </w:tcPr>
          <w:p>
            <w:pPr>
              <w:pStyle w:val="Normal"/>
              <w:rPr/>
            </w:pPr>
            <w:r>
              <w:rPr/>
              <w:t>2</w:t>
            </w:r>
          </w:p>
        </w:tc>
        <w:tc>
          <w:tcPr>
            <w:tcW w:w="3969" w:type="dxa"/>
            <w:tcBorders>
              <w:end w:val="single" w:sz="4" w:space="0" w:color="000000"/>
            </w:tcBorders>
          </w:tcPr>
          <w:p>
            <w:pPr>
              <w:pStyle w:val="Normal"/>
              <w:rPr/>
            </w:pPr>
            <w:r>
              <w:rPr/>
              <w:t>Post tax cost of equity</w:t>
            </w:r>
          </w:p>
        </w:tc>
        <w:tc>
          <w:tcPr>
            <w:tcW w:w="1134" w:type="dxa"/>
            <w:tcBorders/>
          </w:tcPr>
          <w:p>
            <w:pPr>
              <w:pStyle w:val="Normal"/>
              <w:jc w:val="center"/>
              <w:rPr/>
            </w:pPr>
            <w:r>
              <w:rPr/>
              <w:t>6.25%</w:t>
            </w:r>
          </w:p>
        </w:tc>
        <w:tc>
          <w:tcPr>
            <w:tcW w:w="1134" w:type="dxa"/>
            <w:tcBorders>
              <w:end w:val="single" w:sz="4" w:space="0" w:color="000000"/>
            </w:tcBorders>
          </w:tcPr>
          <w:p>
            <w:pPr>
              <w:pStyle w:val="Normal"/>
              <w:jc w:val="center"/>
              <w:rPr/>
            </w:pPr>
            <w:r>
              <w:rPr/>
              <w:t>8.6%</w:t>
            </w:r>
          </w:p>
        </w:tc>
      </w:tr>
      <w:tr>
        <w:trPr/>
        <w:tc>
          <w:tcPr>
            <w:tcW w:w="567" w:type="dxa"/>
            <w:tcBorders>
              <w:start w:val="single" w:sz="4" w:space="0" w:color="000000"/>
            </w:tcBorders>
          </w:tcPr>
          <w:p>
            <w:pPr>
              <w:pStyle w:val="Normal"/>
              <w:rPr/>
            </w:pPr>
            <w:r>
              <w:rPr/>
              <w:t>3</w:t>
            </w:r>
          </w:p>
        </w:tc>
        <w:tc>
          <w:tcPr>
            <w:tcW w:w="3969" w:type="dxa"/>
            <w:tcBorders>
              <w:end w:val="single" w:sz="4" w:space="0" w:color="000000"/>
            </w:tcBorders>
          </w:tcPr>
          <w:p>
            <w:pPr>
              <w:pStyle w:val="Normal"/>
              <w:rPr/>
            </w:pPr>
            <w:r>
              <w:rPr/>
              <w:t>Pre tax cost of debt</w:t>
            </w:r>
          </w:p>
        </w:tc>
        <w:tc>
          <w:tcPr>
            <w:tcW w:w="1134" w:type="dxa"/>
            <w:tcBorders/>
          </w:tcPr>
          <w:p>
            <w:pPr>
              <w:pStyle w:val="Normal"/>
              <w:jc w:val="center"/>
              <w:rPr/>
            </w:pPr>
            <w:r>
              <w:rPr/>
              <w:t>4.5%</w:t>
            </w:r>
          </w:p>
        </w:tc>
        <w:tc>
          <w:tcPr>
            <w:tcW w:w="1134" w:type="dxa"/>
            <w:tcBorders>
              <w:end w:val="single" w:sz="4" w:space="0" w:color="000000"/>
            </w:tcBorders>
          </w:tcPr>
          <w:p>
            <w:pPr>
              <w:pStyle w:val="Normal"/>
              <w:jc w:val="center"/>
              <w:rPr/>
            </w:pPr>
            <w:r>
              <w:rPr/>
              <w:t>7.0%</w:t>
            </w:r>
          </w:p>
        </w:tc>
      </w:tr>
      <w:tr>
        <w:trPr/>
        <w:tc>
          <w:tcPr>
            <w:tcW w:w="567" w:type="dxa"/>
            <w:tcBorders>
              <w:start w:val="single" w:sz="4" w:space="0" w:color="000000"/>
            </w:tcBorders>
          </w:tcPr>
          <w:p>
            <w:pPr>
              <w:pStyle w:val="Normal"/>
              <w:rPr/>
            </w:pPr>
            <w:r>
              <w:rPr/>
              <w:t>4</w:t>
            </w:r>
          </w:p>
        </w:tc>
        <w:tc>
          <w:tcPr>
            <w:tcW w:w="3969" w:type="dxa"/>
            <w:tcBorders>
              <w:end w:val="single" w:sz="4" w:space="0" w:color="000000"/>
            </w:tcBorders>
          </w:tcPr>
          <w:p>
            <w:pPr>
              <w:pStyle w:val="Normal"/>
              <w:rPr/>
            </w:pPr>
            <w:r>
              <w:rPr/>
              <w:t>Post tax cost of debt</w:t>
            </w:r>
          </w:p>
        </w:tc>
        <w:tc>
          <w:tcPr>
            <w:tcW w:w="1134" w:type="dxa"/>
            <w:tcBorders/>
          </w:tcPr>
          <w:p>
            <w:pPr>
              <w:pStyle w:val="Normal"/>
              <w:jc w:val="center"/>
              <w:rPr/>
            </w:pPr>
            <w:r>
              <w:rPr/>
              <w:t>3.2%</w:t>
            </w:r>
          </w:p>
        </w:tc>
        <w:tc>
          <w:tcPr>
            <w:tcW w:w="1134" w:type="dxa"/>
            <w:tcBorders>
              <w:end w:val="single" w:sz="4" w:space="0" w:color="000000"/>
            </w:tcBorders>
          </w:tcPr>
          <w:p>
            <w:pPr>
              <w:pStyle w:val="Normal"/>
              <w:jc w:val="center"/>
              <w:rPr/>
            </w:pPr>
            <w:r>
              <w:rPr/>
              <w:t>4.9%</w:t>
            </w:r>
          </w:p>
        </w:tc>
      </w:tr>
      <w:tr>
        <w:trPr/>
        <w:tc>
          <w:tcPr>
            <w:tcW w:w="567" w:type="dxa"/>
            <w:tcBorders>
              <w:start w:val="single" w:sz="4" w:space="0" w:color="000000"/>
              <w:bottom w:val="single" w:sz="4" w:space="0" w:color="000000"/>
            </w:tcBorders>
          </w:tcPr>
          <w:p>
            <w:pPr>
              <w:pStyle w:val="Normal"/>
              <w:rPr/>
            </w:pPr>
            <w:r>
              <w:rPr/>
              <w:t>5</w:t>
            </w:r>
          </w:p>
        </w:tc>
        <w:tc>
          <w:tcPr>
            <w:tcW w:w="3969" w:type="dxa"/>
            <w:tcBorders>
              <w:bottom w:val="single" w:sz="4" w:space="0" w:color="000000"/>
              <w:end w:val="single" w:sz="4" w:space="0" w:color="000000"/>
            </w:tcBorders>
          </w:tcPr>
          <w:p>
            <w:pPr>
              <w:pStyle w:val="Normal"/>
              <w:rPr/>
            </w:pPr>
            <w:r>
              <w:rPr/>
              <w:t>Weighted average cost of capital</w:t>
            </w:r>
          </w:p>
        </w:tc>
        <w:tc>
          <w:tcPr>
            <w:tcW w:w="1134" w:type="dxa"/>
            <w:tcBorders>
              <w:top w:val="single" w:sz="4" w:space="0" w:color="000000"/>
              <w:bottom w:val="single" w:sz="4" w:space="0" w:color="000000"/>
            </w:tcBorders>
          </w:tcPr>
          <w:p>
            <w:pPr>
              <w:pStyle w:val="Normal"/>
              <w:jc w:val="center"/>
              <w:rPr/>
            </w:pPr>
            <w:r>
              <w:rPr/>
              <w:t>4.75%</w:t>
            </w:r>
          </w:p>
        </w:tc>
        <w:tc>
          <w:tcPr>
            <w:tcW w:w="1134" w:type="dxa"/>
            <w:tcBorders>
              <w:top w:val="single" w:sz="4" w:space="0" w:color="000000"/>
              <w:bottom w:val="single" w:sz="4" w:space="0" w:color="000000"/>
              <w:end w:val="single" w:sz="4" w:space="0" w:color="000000"/>
            </w:tcBorders>
          </w:tcPr>
          <w:p>
            <w:pPr>
              <w:pStyle w:val="Normal"/>
              <w:jc w:val="center"/>
              <w:rPr/>
            </w:pPr>
            <w:r>
              <w:rPr/>
              <w:t>7.8%</w:t>
            </w:r>
          </w:p>
        </w:tc>
      </w:tr>
    </w:tbl>
    <w:p>
      <w:pPr>
        <w:pStyle w:val="Normal"/>
        <w:rPr/>
      </w:pPr>
      <w:r>
        <w:rPr/>
      </w:r>
    </w:p>
    <w:p>
      <w:pPr>
        <w:pStyle w:val="Normal"/>
        <w:rPr/>
      </w:pPr>
      <w:r>
        <w:rPr/>
        <w:t xml:space="preserve">In principle therefore if the regulator has estimated the cost of capital correctly equity earnings or free cashflow should be discounted at around 8.5% in nominal, or 6.25% in real terms. </w:t>
      </w:r>
    </w:p>
    <w:p>
      <w:pPr>
        <w:pStyle w:val="Normal"/>
        <w:rPr/>
      </w:pPr>
      <w:r>
        <w:rPr/>
      </w:r>
    </w:p>
    <w:p>
      <w:pPr>
        <w:pStyle w:val="Normal"/>
        <w:rPr/>
      </w:pPr>
      <w:r>
        <w:rPr/>
        <w:t>Most companies argued strongly that the allowed rate of return, particularly that on equity, was well below market expectations.  The general consensus was that cost of equity capital was at least 1% more than the regulator allowed.  That said other regulators agree with OFWAT.  The Energy regulator has this week set a target return for the UK gas transportation system of 4.8% real post tax.</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2</w:t>
        <w:tab/>
        <w:t xml:space="preserve">Valuation </w:t>
      </w:r>
    </w:p>
    <w:p>
      <w:pPr>
        <w:pStyle w:val="Normal"/>
        <w:rPr>
          <w:b/>
        </w:rPr>
      </w:pPr>
      <w:r>
        <w:rPr>
          <w:b/>
        </w:rPr>
      </w:r>
    </w:p>
    <w:p>
      <w:pPr>
        <w:pStyle w:val="Normal"/>
        <w:rPr>
          <w:b/>
        </w:rPr>
      </w:pPr>
      <w:r>
        <w:rPr>
          <w:b/>
        </w:rPr>
        <w:t>2.1</w:t>
        <w:tab/>
        <w:t>RAB valuation.</w:t>
      </w:r>
    </w:p>
    <w:p>
      <w:pPr>
        <w:pStyle w:val="Normal"/>
        <w:rPr/>
      </w:pPr>
      <w:r>
        <w:rPr/>
        <w:t xml:space="preserve">As at 31 March 2001 the RAB value of Wessex was £1.265m.  With debt of £567m the resulting equity was just under £700m.  </w:t>
      </w:r>
    </w:p>
    <w:p>
      <w:pPr>
        <w:pStyle w:val="Normal"/>
        <w:rPr/>
      </w:pPr>
      <w:r>
        <w:rPr/>
      </w:r>
    </w:p>
    <w:p>
      <w:pPr>
        <w:pStyle w:val="Normal"/>
        <w:rPr>
          <w:b/>
        </w:rPr>
      </w:pPr>
      <w:r>
        <w:rPr>
          <w:b/>
        </w:rPr>
        <w:t>2.2</w:t>
        <w:tab/>
        <w:t>Current market valuations</w:t>
      </w:r>
    </w:p>
    <w:p>
      <w:pPr>
        <w:pStyle w:val="Normal"/>
        <w:rPr/>
      </w:pPr>
      <w:r>
        <w:rPr/>
        <w:t>Last summer RWE purchased Thames at c120% of RAB. On this multiple Wessex would have an enterprise value of £1,517m and an equity value of £950m.</w:t>
      </w:r>
    </w:p>
    <w:p>
      <w:pPr>
        <w:pStyle w:val="Normal"/>
        <w:rPr/>
      </w:pPr>
      <w:r>
        <w:rPr/>
      </w:r>
    </w:p>
    <w:p>
      <w:pPr>
        <w:pStyle w:val="Normal"/>
        <w:rPr/>
      </w:pPr>
      <w:r>
        <w:rPr/>
        <w:t>However this may not be accepted as an appropriate valuation for Wessex.  RWE said that they were paying a strategic premium for Thames, and they also acquired a significant overseas and property portfolio. Recent valuations of pure water companies by financial institutions valued the businesses at 90% to 95% of RAB.  This would give Wessex an enterprise value of £1163m and an equity value of £596m.</w:t>
      </w:r>
    </w:p>
    <w:p>
      <w:pPr>
        <w:pStyle w:val="Normal"/>
        <w:rPr/>
      </w:pPr>
      <w:r>
        <w:rPr/>
      </w:r>
    </w:p>
    <w:tbl>
      <w:tblPr>
        <w:tblW w:w="9242" w:type="dxa"/>
        <w:jc w:val="start"/>
        <w:tblInd w:w="0" w:type="dxa"/>
        <w:tblLayout w:type="fixed"/>
        <w:tblCellMar>
          <w:top w:w="0" w:type="dxa"/>
          <w:start w:w="108" w:type="dxa"/>
          <w:bottom w:w="0" w:type="dxa"/>
          <w:end w:w="108" w:type="dxa"/>
        </w:tblCellMar>
      </w:tblPr>
      <w:tblGrid>
        <w:gridCol w:w="4536"/>
        <w:gridCol w:w="2268"/>
        <w:gridCol w:w="1247"/>
        <w:gridCol w:w="1191"/>
      </w:tblGrid>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t>Table 1</w:t>
            </w:r>
          </w:p>
          <w:p>
            <w:pPr>
              <w:pStyle w:val="Normal"/>
              <w:rPr/>
            </w:pPr>
            <w:r>
              <w:rPr/>
              <w:t>Recent and proposed transactions involving UK Water companies</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Type of transaction</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Date</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pPr>
            <w:r>
              <w:rPr/>
              <w:t>RAB multiple</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t>Glas Cymru purchase of Dwr Cymru</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100% debt</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April 2001</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pPr>
            <w:r>
              <w:rPr/>
              <w:t>93%</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t>Management buyout of Mid Kent</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Highly leveraged</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May 2001</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pPr>
            <w:r>
              <w:rPr/>
              <w:t>95%</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t>Rumoured purchase of Southern by ENEL</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Unknown</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Pending</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pPr>
            <w:r>
              <w:rPr/>
              <w:t>90%-95%</w:t>
            </w:r>
          </w:p>
        </w:tc>
      </w:tr>
      <w:tr>
        <w:trPr/>
        <w:tc>
          <w:tcPr>
            <w:tcW w:w="4536" w:type="dxa"/>
            <w:tcBorders>
              <w:top w:val="single" w:sz="4" w:space="0" w:color="000000"/>
              <w:start w:val="single" w:sz="4" w:space="0" w:color="000000"/>
              <w:bottom w:val="single" w:sz="4" w:space="0" w:color="000000"/>
              <w:end w:val="single" w:sz="4" w:space="0" w:color="000000"/>
            </w:tcBorders>
          </w:tcPr>
          <w:p>
            <w:pPr>
              <w:pStyle w:val="Normal"/>
              <w:rPr/>
            </w:pPr>
            <w:r>
              <w:rPr/>
              <w:t>Rumoured purchase of Southern by Candover</w:t>
            </w:r>
          </w:p>
        </w:tc>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pPr>
            <w:r>
              <w:rPr/>
              <w:t>Highly leveraged / limited equity</w:t>
            </w:r>
          </w:p>
        </w:tc>
        <w:tc>
          <w:tcPr>
            <w:tcW w:w="1247" w:type="dxa"/>
            <w:tcBorders>
              <w:top w:val="single" w:sz="4" w:space="0" w:color="000000"/>
              <w:start w:val="single" w:sz="4" w:space="0" w:color="000000"/>
              <w:bottom w:val="single" w:sz="4" w:space="0" w:color="000000"/>
              <w:end w:val="single" w:sz="4" w:space="0" w:color="000000"/>
            </w:tcBorders>
          </w:tcPr>
          <w:p>
            <w:pPr>
              <w:pStyle w:val="Normal"/>
              <w:jc w:val="center"/>
              <w:rPr/>
            </w:pPr>
            <w:r>
              <w:rPr/>
              <w:t>Pending</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pPr>
            <w:r>
              <w:rPr/>
              <w:t>90%-95%</w:t>
            </w:r>
          </w:p>
        </w:tc>
      </w:tr>
    </w:tbl>
    <w:p>
      <w:pPr>
        <w:pStyle w:val="Normal"/>
        <w:rPr/>
      </w:pPr>
      <w:r>
        <w:rPr/>
      </w:r>
    </w:p>
    <w:p>
      <w:pPr>
        <w:pStyle w:val="Normal"/>
        <w:rPr>
          <w:b/>
        </w:rPr>
      </w:pPr>
      <w:r>
        <w:rPr>
          <w:b/>
        </w:rPr>
        <w:t>2.3</w:t>
        <w:tab/>
        <w:t>DCF valuations</w:t>
      </w:r>
    </w:p>
    <w:p>
      <w:pPr>
        <w:pStyle w:val="Normal"/>
        <w:rPr/>
      </w:pPr>
      <w:r>
        <w:rPr/>
        <w:t>We have prepared 3 scenarios in order to undertake a DCF valuation, each involving a different level of capital investment in the period 2005-2010, viz:</w:t>
      </w:r>
    </w:p>
    <w:p>
      <w:pPr>
        <w:pStyle w:val="Normal"/>
        <w:numPr>
          <w:ilvl w:val="0"/>
          <w:numId w:val="4"/>
        </w:numPr>
        <w:rPr/>
      </w:pPr>
      <w:r>
        <w:rPr/>
        <w:t>Scenario 1 : Undertaking only maintenance investment</w:t>
      </w:r>
    </w:p>
    <w:p>
      <w:pPr>
        <w:pStyle w:val="Normal"/>
        <w:numPr>
          <w:ilvl w:val="0"/>
          <w:numId w:val="4"/>
        </w:numPr>
        <w:rPr/>
      </w:pPr>
      <w:r>
        <w:rPr/>
        <w:t>Scenario 2 : Maintenance investment plus £30m pa of new quality obligations</w:t>
      </w:r>
    </w:p>
    <w:p>
      <w:pPr>
        <w:pStyle w:val="Normal"/>
        <w:numPr>
          <w:ilvl w:val="0"/>
          <w:numId w:val="4"/>
        </w:numPr>
        <w:rPr/>
      </w:pPr>
      <w:r>
        <w:rPr/>
        <w:t>Scenario 3 : Maintenance investment plus £50m pa ( the historic level) of quality obligations</w:t>
      </w:r>
    </w:p>
    <w:p>
      <w:pPr>
        <w:pStyle w:val="Normal"/>
        <w:rPr/>
      </w:pPr>
      <w:r>
        <w:rPr/>
      </w:r>
    </w:p>
    <w:p>
      <w:pPr>
        <w:pStyle w:val="Normal"/>
        <w:rPr/>
      </w:pPr>
      <w:r>
        <w:rPr/>
        <w:t>The last scenario is considered the most likely.  The resulting equity valuations are shown below.  In all cases we assume the target rate of return remains unaltered from that set by the regulator in 1999.</w:t>
      </w:r>
    </w:p>
    <w:p>
      <w:pPr>
        <w:pStyle w:val="Normal"/>
        <w:rPr/>
      </w:pPr>
      <w:r>
        <w:rPr/>
      </w:r>
    </w:p>
    <w:tbl>
      <w:tblPr>
        <w:tblW w:w="6237" w:type="dxa"/>
        <w:jc w:val="start"/>
        <w:tblInd w:w="0" w:type="dxa"/>
        <w:tblLayout w:type="fixed"/>
        <w:tblCellMar>
          <w:top w:w="0" w:type="dxa"/>
          <w:start w:w="108" w:type="dxa"/>
          <w:bottom w:w="0" w:type="dxa"/>
          <w:end w:w="108" w:type="dxa"/>
        </w:tblCellMar>
      </w:tblPr>
      <w:tblGrid>
        <w:gridCol w:w="2835"/>
        <w:gridCol w:w="1134"/>
        <w:gridCol w:w="1134"/>
        <w:gridCol w:w="1134"/>
      </w:tblGrid>
      <w:tr>
        <w:trPr/>
        <w:tc>
          <w:tcPr>
            <w:tcW w:w="2835" w:type="dxa"/>
            <w:tcBorders>
              <w:top w:val="single" w:sz="4" w:space="0" w:color="000000"/>
              <w:start w:val="single" w:sz="4" w:space="0" w:color="000000"/>
              <w:end w:val="single" w:sz="4" w:space="0" w:color="000000"/>
            </w:tcBorders>
          </w:tcPr>
          <w:p>
            <w:pPr>
              <w:pStyle w:val="Header"/>
              <w:tabs>
                <w:tab w:val="clear" w:pos="4153"/>
                <w:tab w:val="clear" w:pos="8306"/>
              </w:tabs>
              <w:rPr/>
            </w:pPr>
            <w:r>
              <w:rPr/>
              <w:t>Table 2</w:t>
            </w:r>
          </w:p>
          <w:p>
            <w:pPr>
              <w:pStyle w:val="Header"/>
              <w:tabs>
                <w:tab w:val="clear" w:pos="4153"/>
                <w:tab w:val="clear" w:pos="8306"/>
              </w:tabs>
              <w:rPr/>
            </w:pPr>
            <w:r>
              <w:rPr/>
              <w:t>Equity valuations round to nearest £10m</w:t>
            </w:r>
          </w:p>
        </w:tc>
        <w:tc>
          <w:tcPr>
            <w:tcW w:w="1134" w:type="dxa"/>
            <w:tcBorders>
              <w:top w:val="single" w:sz="4" w:space="0" w:color="000000"/>
              <w:bottom w:val="single" w:sz="4" w:space="0" w:color="000000"/>
            </w:tcBorders>
          </w:tcPr>
          <w:p>
            <w:pPr>
              <w:pStyle w:val="Normal"/>
              <w:jc w:val="center"/>
              <w:rPr/>
            </w:pPr>
            <w:r>
              <w:rPr/>
              <w:t>Discount rate</w:t>
            </w:r>
          </w:p>
          <w:p>
            <w:pPr>
              <w:pStyle w:val="Normal"/>
              <w:jc w:val="center"/>
              <w:rPr/>
            </w:pPr>
            <w:r>
              <w:rPr/>
              <w:t>7.5%</w:t>
            </w:r>
          </w:p>
        </w:tc>
        <w:tc>
          <w:tcPr>
            <w:tcW w:w="1134" w:type="dxa"/>
            <w:tcBorders>
              <w:top w:val="single" w:sz="4" w:space="0" w:color="000000"/>
              <w:bottom w:val="single" w:sz="4" w:space="0" w:color="000000"/>
            </w:tcBorders>
          </w:tcPr>
          <w:p>
            <w:pPr>
              <w:pStyle w:val="Normal"/>
              <w:jc w:val="center"/>
              <w:rPr/>
            </w:pPr>
            <w:r>
              <w:rPr/>
              <w:t>Discount rate</w:t>
            </w:r>
          </w:p>
          <w:p>
            <w:pPr>
              <w:pStyle w:val="Normal"/>
              <w:jc w:val="center"/>
              <w:rPr/>
            </w:pPr>
            <w:r>
              <w:rPr/>
              <w:t>8.5%</w:t>
            </w:r>
          </w:p>
        </w:tc>
        <w:tc>
          <w:tcPr>
            <w:tcW w:w="1134" w:type="dxa"/>
            <w:tcBorders>
              <w:top w:val="single" w:sz="4" w:space="0" w:color="000000"/>
              <w:bottom w:val="single" w:sz="4" w:space="0" w:color="000000"/>
              <w:end w:val="single" w:sz="4" w:space="0" w:color="000000"/>
            </w:tcBorders>
          </w:tcPr>
          <w:p>
            <w:pPr>
              <w:pStyle w:val="Normal"/>
              <w:jc w:val="center"/>
              <w:rPr/>
            </w:pPr>
            <w:r>
              <w:rPr/>
              <w:t>Discount rate</w:t>
            </w:r>
          </w:p>
          <w:p>
            <w:pPr>
              <w:pStyle w:val="Normal"/>
              <w:jc w:val="center"/>
              <w:rPr/>
            </w:pPr>
            <w:r>
              <w:rPr/>
              <w:t>9.5%</w:t>
            </w:r>
          </w:p>
        </w:tc>
      </w:tr>
      <w:tr>
        <w:trPr/>
        <w:tc>
          <w:tcPr>
            <w:tcW w:w="2835" w:type="dxa"/>
            <w:tcBorders>
              <w:top w:val="single" w:sz="4" w:space="0" w:color="000000"/>
              <w:start w:val="single" w:sz="4" w:space="0" w:color="000000"/>
              <w:end w:val="single" w:sz="4" w:space="0" w:color="000000"/>
            </w:tcBorders>
          </w:tcPr>
          <w:p>
            <w:pPr>
              <w:pStyle w:val="Normal"/>
              <w:rPr/>
            </w:pPr>
            <w:r>
              <w:rPr/>
              <w:t>Scenario 1</w:t>
            </w:r>
          </w:p>
        </w:tc>
        <w:tc>
          <w:tcPr>
            <w:tcW w:w="1134" w:type="dxa"/>
            <w:tcBorders/>
          </w:tcPr>
          <w:p>
            <w:pPr>
              <w:pStyle w:val="Normal"/>
              <w:jc w:val="center"/>
              <w:rPr/>
            </w:pPr>
            <w:r>
              <w:rPr/>
              <w:t>860</w:t>
            </w:r>
          </w:p>
        </w:tc>
        <w:tc>
          <w:tcPr>
            <w:tcW w:w="1134" w:type="dxa"/>
            <w:tcBorders/>
          </w:tcPr>
          <w:p>
            <w:pPr>
              <w:pStyle w:val="Normal"/>
              <w:jc w:val="center"/>
              <w:rPr/>
            </w:pPr>
            <w:r>
              <w:rPr/>
              <w:t>600</w:t>
            </w:r>
          </w:p>
        </w:tc>
        <w:tc>
          <w:tcPr>
            <w:tcW w:w="1134" w:type="dxa"/>
            <w:tcBorders>
              <w:end w:val="single" w:sz="4" w:space="0" w:color="000000"/>
            </w:tcBorders>
          </w:tcPr>
          <w:p>
            <w:pPr>
              <w:pStyle w:val="Normal"/>
              <w:jc w:val="center"/>
              <w:rPr/>
            </w:pPr>
            <w:r>
              <w:rPr/>
              <w:t>430</w:t>
            </w:r>
          </w:p>
        </w:tc>
      </w:tr>
      <w:tr>
        <w:trPr/>
        <w:tc>
          <w:tcPr>
            <w:tcW w:w="2835" w:type="dxa"/>
            <w:tcBorders>
              <w:start w:val="single" w:sz="4" w:space="0" w:color="000000"/>
              <w:end w:val="single" w:sz="4" w:space="0" w:color="000000"/>
            </w:tcBorders>
          </w:tcPr>
          <w:p>
            <w:pPr>
              <w:pStyle w:val="Normal"/>
              <w:rPr/>
            </w:pPr>
            <w:r>
              <w:rPr/>
              <w:t>Scenario 2</w:t>
            </w:r>
          </w:p>
        </w:tc>
        <w:tc>
          <w:tcPr>
            <w:tcW w:w="1134" w:type="dxa"/>
            <w:tcBorders/>
          </w:tcPr>
          <w:p>
            <w:pPr>
              <w:pStyle w:val="Normal"/>
              <w:jc w:val="center"/>
              <w:rPr/>
            </w:pPr>
            <w:r>
              <w:rPr/>
              <w:t>850</w:t>
            </w:r>
          </w:p>
        </w:tc>
        <w:tc>
          <w:tcPr>
            <w:tcW w:w="1134" w:type="dxa"/>
            <w:tcBorders/>
          </w:tcPr>
          <w:p>
            <w:pPr>
              <w:pStyle w:val="Normal"/>
              <w:jc w:val="center"/>
              <w:rPr/>
            </w:pPr>
            <w:r>
              <w:rPr/>
              <w:t>580</w:t>
            </w:r>
          </w:p>
        </w:tc>
        <w:tc>
          <w:tcPr>
            <w:tcW w:w="1134" w:type="dxa"/>
            <w:tcBorders>
              <w:end w:val="single" w:sz="4" w:space="0" w:color="000000"/>
            </w:tcBorders>
          </w:tcPr>
          <w:p>
            <w:pPr>
              <w:pStyle w:val="Normal"/>
              <w:jc w:val="center"/>
              <w:rPr/>
            </w:pPr>
            <w:r>
              <w:rPr/>
              <w:t>400</w:t>
            </w:r>
          </w:p>
        </w:tc>
      </w:tr>
      <w:tr>
        <w:trPr/>
        <w:tc>
          <w:tcPr>
            <w:tcW w:w="2835" w:type="dxa"/>
            <w:tcBorders>
              <w:start w:val="single" w:sz="4" w:space="0" w:color="000000"/>
              <w:bottom w:val="single" w:sz="4" w:space="0" w:color="000000"/>
              <w:end w:val="single" w:sz="4" w:space="0" w:color="000000"/>
            </w:tcBorders>
          </w:tcPr>
          <w:p>
            <w:pPr>
              <w:pStyle w:val="Normal"/>
              <w:rPr/>
            </w:pPr>
            <w:r>
              <w:rPr/>
              <w:t>Scenario 3</w:t>
            </w:r>
          </w:p>
        </w:tc>
        <w:tc>
          <w:tcPr>
            <w:tcW w:w="1134" w:type="dxa"/>
            <w:tcBorders>
              <w:bottom w:val="single" w:sz="4" w:space="0" w:color="000000"/>
            </w:tcBorders>
          </w:tcPr>
          <w:p>
            <w:pPr>
              <w:pStyle w:val="Normal"/>
              <w:jc w:val="center"/>
              <w:rPr/>
            </w:pPr>
            <w:r>
              <w:rPr/>
              <w:t>820</w:t>
            </w:r>
          </w:p>
        </w:tc>
        <w:tc>
          <w:tcPr>
            <w:tcW w:w="1134" w:type="dxa"/>
            <w:tcBorders>
              <w:bottom w:val="single" w:sz="4" w:space="0" w:color="000000"/>
            </w:tcBorders>
          </w:tcPr>
          <w:p>
            <w:pPr>
              <w:pStyle w:val="Normal"/>
              <w:jc w:val="center"/>
              <w:rPr/>
            </w:pPr>
            <w:r>
              <w:rPr/>
              <w:t>540</w:t>
            </w:r>
          </w:p>
        </w:tc>
        <w:tc>
          <w:tcPr>
            <w:tcW w:w="1134" w:type="dxa"/>
            <w:tcBorders>
              <w:bottom w:val="single" w:sz="4" w:space="0" w:color="000000"/>
              <w:end w:val="single" w:sz="4" w:space="0" w:color="000000"/>
            </w:tcBorders>
          </w:tcPr>
          <w:p>
            <w:pPr>
              <w:pStyle w:val="Normal"/>
              <w:jc w:val="center"/>
              <w:rPr/>
            </w:pPr>
            <w:r>
              <w:rPr/>
              <w:t>350</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To achieve our target valuation of £1,272m we assessed what price increase is necessary in 2005</w:t>
      </w:r>
      <w:r>
        <w:rPr>
          <w:rStyle w:val="FootnoteCharacters"/>
          <w:rStyle w:val="FootnoteReference"/>
        </w:rPr>
        <w:footnoteReference w:id="2"/>
      </w:r>
      <w:r>
        <w:rPr/>
        <w:t>.  This is shown for each scenario, at a central discount rate of 8.5%, in table 3.</w:t>
      </w:r>
    </w:p>
    <w:p>
      <w:pPr>
        <w:pStyle w:val="Normal"/>
        <w:rPr/>
      </w:pPr>
      <w:r>
        <w:rPr/>
      </w:r>
    </w:p>
    <w:tbl>
      <w:tblPr>
        <w:tblW w:w="6238" w:type="dxa"/>
        <w:jc w:val="start"/>
        <w:tblInd w:w="0" w:type="dxa"/>
        <w:tblLayout w:type="fixed"/>
        <w:tblCellMar>
          <w:top w:w="0" w:type="dxa"/>
          <w:start w:w="108" w:type="dxa"/>
          <w:bottom w:w="0" w:type="dxa"/>
          <w:end w:w="108" w:type="dxa"/>
        </w:tblCellMar>
      </w:tblPr>
      <w:tblGrid>
        <w:gridCol w:w="2835"/>
        <w:gridCol w:w="1418"/>
        <w:gridCol w:w="1985"/>
      </w:tblGrid>
      <w:tr>
        <w:trPr/>
        <w:tc>
          <w:tcPr>
            <w:tcW w:w="2835" w:type="dxa"/>
            <w:tcBorders>
              <w:top w:val="single" w:sz="4" w:space="0" w:color="000000"/>
              <w:start w:val="single" w:sz="4" w:space="0" w:color="000000"/>
            </w:tcBorders>
          </w:tcPr>
          <w:p>
            <w:pPr>
              <w:pStyle w:val="Normal"/>
              <w:rPr/>
            </w:pPr>
            <w:r>
              <w:rPr/>
              <w:t xml:space="preserve">Table 3 </w:t>
            </w:r>
          </w:p>
          <w:p>
            <w:pPr>
              <w:pStyle w:val="Normal"/>
              <w:rPr/>
            </w:pPr>
            <w:r>
              <w:rPr/>
              <w:t>Price increases to achieve target equity value at 8.5% discount rate</w:t>
            </w:r>
          </w:p>
        </w:tc>
        <w:tc>
          <w:tcPr>
            <w:tcW w:w="1418" w:type="dxa"/>
            <w:tcBorders>
              <w:top w:val="single" w:sz="4" w:space="0" w:color="000000"/>
              <w:start w:val="single" w:sz="4" w:space="0" w:color="000000"/>
              <w:bottom w:val="single" w:sz="4" w:space="0" w:color="000000"/>
            </w:tcBorders>
          </w:tcPr>
          <w:p>
            <w:pPr>
              <w:pStyle w:val="Normal"/>
              <w:jc w:val="center"/>
              <w:rPr/>
            </w:pPr>
            <w:r>
              <w:rPr/>
              <w:t>Price increase</w:t>
            </w:r>
          </w:p>
        </w:tc>
        <w:tc>
          <w:tcPr>
            <w:tcW w:w="1985" w:type="dxa"/>
            <w:tcBorders>
              <w:top w:val="single" w:sz="4" w:space="0" w:color="000000"/>
              <w:bottom w:val="single" w:sz="4" w:space="0" w:color="000000"/>
              <w:end w:val="single" w:sz="4" w:space="0" w:color="000000"/>
            </w:tcBorders>
          </w:tcPr>
          <w:p>
            <w:pPr>
              <w:pStyle w:val="Normal"/>
              <w:jc w:val="center"/>
              <w:rPr/>
            </w:pPr>
            <w:r>
              <w:rPr/>
              <w:t xml:space="preserve">Implied allowed rate of return </w:t>
            </w:r>
          </w:p>
          <w:p>
            <w:pPr>
              <w:pStyle w:val="Normal"/>
              <w:jc w:val="center"/>
              <w:rPr/>
            </w:pPr>
            <w:r>
              <w:rPr/>
              <w:t>(real post tax)</w:t>
            </w:r>
          </w:p>
        </w:tc>
      </w:tr>
      <w:tr>
        <w:trPr/>
        <w:tc>
          <w:tcPr>
            <w:tcW w:w="2835" w:type="dxa"/>
            <w:tcBorders>
              <w:top w:val="single" w:sz="4" w:space="0" w:color="000000"/>
              <w:start w:val="single" w:sz="4" w:space="0" w:color="000000"/>
              <w:end w:val="single" w:sz="4" w:space="0" w:color="000000"/>
            </w:tcBorders>
          </w:tcPr>
          <w:p>
            <w:pPr>
              <w:pStyle w:val="Normal"/>
              <w:rPr/>
            </w:pPr>
            <w:r>
              <w:rPr/>
              <w:t>Scenario 1</w:t>
            </w:r>
          </w:p>
        </w:tc>
        <w:tc>
          <w:tcPr>
            <w:tcW w:w="1418" w:type="dxa"/>
            <w:tcBorders/>
          </w:tcPr>
          <w:p>
            <w:pPr>
              <w:pStyle w:val="Normal"/>
              <w:jc w:val="center"/>
              <w:rPr/>
            </w:pPr>
            <w:r>
              <w:rPr/>
              <w:t>11%</w:t>
            </w:r>
          </w:p>
        </w:tc>
        <w:tc>
          <w:tcPr>
            <w:tcW w:w="1985" w:type="dxa"/>
            <w:tcBorders>
              <w:end w:val="single" w:sz="4" w:space="0" w:color="000000"/>
            </w:tcBorders>
          </w:tcPr>
          <w:p>
            <w:pPr>
              <w:pStyle w:val="Normal"/>
              <w:jc w:val="center"/>
              <w:rPr/>
            </w:pPr>
            <w:r>
              <w:rPr/>
              <w:t>6.3%</w:t>
            </w:r>
          </w:p>
        </w:tc>
      </w:tr>
      <w:tr>
        <w:trPr/>
        <w:tc>
          <w:tcPr>
            <w:tcW w:w="2835" w:type="dxa"/>
            <w:tcBorders>
              <w:start w:val="single" w:sz="4" w:space="0" w:color="000000"/>
              <w:end w:val="single" w:sz="4" w:space="0" w:color="000000"/>
            </w:tcBorders>
          </w:tcPr>
          <w:p>
            <w:pPr>
              <w:pStyle w:val="Normal"/>
              <w:rPr/>
            </w:pPr>
            <w:r>
              <w:rPr/>
              <w:t>Scenario 2</w:t>
            </w:r>
          </w:p>
        </w:tc>
        <w:tc>
          <w:tcPr>
            <w:tcW w:w="1418" w:type="dxa"/>
            <w:tcBorders/>
          </w:tcPr>
          <w:p>
            <w:pPr>
              <w:pStyle w:val="Normal"/>
              <w:jc w:val="center"/>
              <w:rPr/>
            </w:pPr>
            <w:r>
              <w:rPr/>
              <w:t>15%</w:t>
            </w:r>
          </w:p>
        </w:tc>
        <w:tc>
          <w:tcPr>
            <w:tcW w:w="1985" w:type="dxa"/>
            <w:tcBorders>
              <w:end w:val="single" w:sz="4" w:space="0" w:color="000000"/>
            </w:tcBorders>
          </w:tcPr>
          <w:p>
            <w:pPr>
              <w:pStyle w:val="Normal"/>
              <w:jc w:val="center"/>
              <w:rPr/>
            </w:pPr>
            <w:r>
              <w:rPr/>
              <w:t>6.6%</w:t>
            </w:r>
          </w:p>
        </w:tc>
      </w:tr>
      <w:tr>
        <w:trPr/>
        <w:tc>
          <w:tcPr>
            <w:tcW w:w="2835" w:type="dxa"/>
            <w:tcBorders>
              <w:start w:val="single" w:sz="4" w:space="0" w:color="000000"/>
              <w:bottom w:val="single" w:sz="4" w:space="0" w:color="000000"/>
              <w:end w:val="single" w:sz="4" w:space="0" w:color="000000"/>
            </w:tcBorders>
          </w:tcPr>
          <w:p>
            <w:pPr>
              <w:pStyle w:val="Normal"/>
              <w:rPr/>
            </w:pPr>
            <w:r>
              <w:rPr/>
              <w:t>Scenario 3</w:t>
            </w:r>
          </w:p>
        </w:tc>
        <w:tc>
          <w:tcPr>
            <w:tcW w:w="1418" w:type="dxa"/>
            <w:tcBorders>
              <w:bottom w:val="single" w:sz="4" w:space="0" w:color="000000"/>
            </w:tcBorders>
          </w:tcPr>
          <w:p>
            <w:pPr>
              <w:pStyle w:val="Normal"/>
              <w:jc w:val="center"/>
              <w:rPr/>
            </w:pPr>
            <w:r>
              <w:rPr/>
              <w:t>18%</w:t>
            </w:r>
          </w:p>
        </w:tc>
        <w:tc>
          <w:tcPr>
            <w:tcW w:w="1985" w:type="dxa"/>
            <w:tcBorders>
              <w:bottom w:val="single" w:sz="4" w:space="0" w:color="000000"/>
              <w:end w:val="single" w:sz="4" w:space="0" w:color="000000"/>
            </w:tcBorders>
          </w:tcPr>
          <w:p>
            <w:pPr>
              <w:pStyle w:val="Normal"/>
              <w:jc w:val="center"/>
              <w:rPr/>
            </w:pPr>
            <w:r>
              <w:rPr/>
              <w:t>6.9%</w:t>
            </w:r>
          </w:p>
        </w:tc>
      </w:tr>
    </w:tbl>
    <w:p>
      <w:pPr>
        <w:pStyle w:val="Header"/>
        <w:tabs>
          <w:tab w:val="clear" w:pos="4153"/>
          <w:tab w:val="clear" w:pos="8306"/>
        </w:tabs>
        <w:rPr/>
      </w:pPr>
      <w:r>
        <w:rPr/>
      </w:r>
    </w:p>
    <w:p>
      <w:pPr>
        <w:pStyle w:val="Normal"/>
        <w:rPr/>
      </w:pPr>
      <w:r>
        <w:rPr/>
        <w:t>The best position we could choose would be to justify a discount rate which is below the equity cost of capital of 8.5%.  If we use 7.5% the following price increases would be necessary – Table 4.</w:t>
      </w:r>
    </w:p>
    <w:p>
      <w:pPr>
        <w:pStyle w:val="Normal"/>
        <w:rPr/>
      </w:pPr>
      <w:r>
        <w:rPr/>
      </w:r>
    </w:p>
    <w:tbl>
      <w:tblPr>
        <w:tblW w:w="6238" w:type="dxa"/>
        <w:jc w:val="start"/>
        <w:tblInd w:w="0" w:type="dxa"/>
        <w:tblLayout w:type="fixed"/>
        <w:tblCellMar>
          <w:top w:w="0" w:type="dxa"/>
          <w:start w:w="108" w:type="dxa"/>
          <w:bottom w:w="0" w:type="dxa"/>
          <w:end w:w="108" w:type="dxa"/>
        </w:tblCellMar>
      </w:tblPr>
      <w:tblGrid>
        <w:gridCol w:w="2835"/>
        <w:gridCol w:w="1418"/>
        <w:gridCol w:w="1985"/>
      </w:tblGrid>
      <w:tr>
        <w:trPr/>
        <w:tc>
          <w:tcPr>
            <w:tcW w:w="2835" w:type="dxa"/>
            <w:tcBorders>
              <w:top w:val="single" w:sz="4" w:space="0" w:color="000000"/>
              <w:start w:val="single" w:sz="4" w:space="0" w:color="000000"/>
            </w:tcBorders>
          </w:tcPr>
          <w:p>
            <w:pPr>
              <w:pStyle w:val="Normal"/>
              <w:rPr/>
            </w:pPr>
            <w:r>
              <w:rPr/>
              <w:t xml:space="preserve">Table 4 </w:t>
            </w:r>
          </w:p>
          <w:p>
            <w:pPr>
              <w:pStyle w:val="Normal"/>
              <w:rPr/>
            </w:pPr>
            <w:r>
              <w:rPr/>
              <w:t>Price increases to achieve target equity value at 7.5% discount rate</w:t>
            </w:r>
          </w:p>
        </w:tc>
        <w:tc>
          <w:tcPr>
            <w:tcW w:w="1418" w:type="dxa"/>
            <w:tcBorders>
              <w:top w:val="single" w:sz="4" w:space="0" w:color="000000"/>
              <w:start w:val="single" w:sz="4" w:space="0" w:color="000000"/>
              <w:bottom w:val="single" w:sz="4" w:space="0" w:color="000000"/>
            </w:tcBorders>
          </w:tcPr>
          <w:p>
            <w:pPr>
              <w:pStyle w:val="Normal"/>
              <w:jc w:val="center"/>
              <w:rPr/>
            </w:pPr>
            <w:r>
              <w:rPr/>
              <w:t>Price increase</w:t>
            </w:r>
          </w:p>
        </w:tc>
        <w:tc>
          <w:tcPr>
            <w:tcW w:w="1985" w:type="dxa"/>
            <w:tcBorders>
              <w:top w:val="single" w:sz="4" w:space="0" w:color="000000"/>
              <w:bottom w:val="single" w:sz="4" w:space="0" w:color="000000"/>
              <w:end w:val="single" w:sz="4" w:space="0" w:color="000000"/>
            </w:tcBorders>
          </w:tcPr>
          <w:p>
            <w:pPr>
              <w:pStyle w:val="Normal"/>
              <w:jc w:val="center"/>
              <w:rPr/>
            </w:pPr>
            <w:r>
              <w:rPr/>
              <w:t xml:space="preserve">Implied allowed rate of return </w:t>
            </w:r>
          </w:p>
          <w:p>
            <w:pPr>
              <w:pStyle w:val="Normal"/>
              <w:jc w:val="center"/>
              <w:rPr/>
            </w:pPr>
            <w:r>
              <w:rPr/>
              <w:t>(real post tax)</w:t>
            </w:r>
          </w:p>
        </w:tc>
      </w:tr>
      <w:tr>
        <w:trPr/>
        <w:tc>
          <w:tcPr>
            <w:tcW w:w="2835" w:type="dxa"/>
            <w:tcBorders>
              <w:top w:val="single" w:sz="4" w:space="0" w:color="000000"/>
              <w:start w:val="single" w:sz="4" w:space="0" w:color="000000"/>
              <w:end w:val="single" w:sz="4" w:space="0" w:color="000000"/>
            </w:tcBorders>
          </w:tcPr>
          <w:p>
            <w:pPr>
              <w:pStyle w:val="Normal"/>
              <w:rPr/>
            </w:pPr>
            <w:r>
              <w:rPr/>
              <w:t>Scenario 1</w:t>
            </w:r>
          </w:p>
        </w:tc>
        <w:tc>
          <w:tcPr>
            <w:tcW w:w="1418" w:type="dxa"/>
            <w:tcBorders/>
          </w:tcPr>
          <w:p>
            <w:pPr>
              <w:pStyle w:val="Normal"/>
              <w:jc w:val="center"/>
              <w:rPr/>
            </w:pPr>
            <w:r>
              <w:rPr/>
              <w:t>4%</w:t>
            </w:r>
          </w:p>
        </w:tc>
        <w:tc>
          <w:tcPr>
            <w:tcW w:w="1985" w:type="dxa"/>
            <w:tcBorders>
              <w:end w:val="single" w:sz="4" w:space="0" w:color="000000"/>
            </w:tcBorders>
          </w:tcPr>
          <w:p>
            <w:pPr>
              <w:pStyle w:val="Normal"/>
              <w:jc w:val="center"/>
              <w:rPr/>
            </w:pPr>
            <w:r>
              <w:rPr/>
              <w:t>5.4%</w:t>
            </w:r>
          </w:p>
        </w:tc>
      </w:tr>
      <w:tr>
        <w:trPr/>
        <w:tc>
          <w:tcPr>
            <w:tcW w:w="2835" w:type="dxa"/>
            <w:tcBorders>
              <w:start w:val="single" w:sz="4" w:space="0" w:color="000000"/>
              <w:end w:val="single" w:sz="4" w:space="0" w:color="000000"/>
            </w:tcBorders>
          </w:tcPr>
          <w:p>
            <w:pPr>
              <w:pStyle w:val="Normal"/>
              <w:rPr/>
            </w:pPr>
            <w:r>
              <w:rPr/>
              <w:t>Scenario 2</w:t>
            </w:r>
          </w:p>
        </w:tc>
        <w:tc>
          <w:tcPr>
            <w:tcW w:w="1418" w:type="dxa"/>
            <w:tcBorders/>
          </w:tcPr>
          <w:p>
            <w:pPr>
              <w:pStyle w:val="Normal"/>
              <w:jc w:val="center"/>
              <w:rPr/>
            </w:pPr>
            <w:r>
              <w:rPr/>
              <w:t>7.5%</w:t>
            </w:r>
          </w:p>
        </w:tc>
        <w:tc>
          <w:tcPr>
            <w:tcW w:w="1985" w:type="dxa"/>
            <w:tcBorders>
              <w:end w:val="single" w:sz="4" w:space="0" w:color="000000"/>
            </w:tcBorders>
          </w:tcPr>
          <w:p>
            <w:pPr>
              <w:pStyle w:val="Normal"/>
              <w:jc w:val="center"/>
              <w:rPr/>
            </w:pPr>
            <w:r>
              <w:rPr/>
              <w:t>5.7%</w:t>
            </w:r>
          </w:p>
        </w:tc>
      </w:tr>
      <w:tr>
        <w:trPr/>
        <w:tc>
          <w:tcPr>
            <w:tcW w:w="2835" w:type="dxa"/>
            <w:tcBorders>
              <w:start w:val="single" w:sz="4" w:space="0" w:color="000000"/>
              <w:bottom w:val="single" w:sz="4" w:space="0" w:color="000000"/>
              <w:end w:val="single" w:sz="4" w:space="0" w:color="000000"/>
            </w:tcBorders>
          </w:tcPr>
          <w:p>
            <w:pPr>
              <w:pStyle w:val="Normal"/>
              <w:rPr/>
            </w:pPr>
            <w:r>
              <w:rPr/>
              <w:t>Scenario 3</w:t>
            </w:r>
          </w:p>
        </w:tc>
        <w:tc>
          <w:tcPr>
            <w:tcW w:w="1418" w:type="dxa"/>
            <w:tcBorders>
              <w:bottom w:val="single" w:sz="4" w:space="0" w:color="000000"/>
            </w:tcBorders>
          </w:tcPr>
          <w:p>
            <w:pPr>
              <w:pStyle w:val="Normal"/>
              <w:jc w:val="center"/>
              <w:rPr/>
            </w:pPr>
            <w:r>
              <w:rPr/>
              <w:t>10%</w:t>
            </w:r>
          </w:p>
        </w:tc>
        <w:tc>
          <w:tcPr>
            <w:tcW w:w="1985" w:type="dxa"/>
            <w:tcBorders>
              <w:bottom w:val="single" w:sz="4" w:space="0" w:color="000000"/>
              <w:end w:val="single" w:sz="4" w:space="0" w:color="000000"/>
            </w:tcBorders>
          </w:tcPr>
          <w:p>
            <w:pPr>
              <w:pStyle w:val="Normal"/>
              <w:jc w:val="center"/>
              <w:rPr/>
            </w:pPr>
            <w:r>
              <w:rPr/>
              <w:t>6.0%</w:t>
            </w:r>
          </w:p>
        </w:tc>
      </w:tr>
    </w:tbl>
    <w:p>
      <w:pPr>
        <w:pStyle w:val="Normal"/>
        <w:rPr/>
      </w:pPr>
      <w:r>
        <w:rPr/>
      </w:r>
    </w:p>
    <w:p>
      <w:pPr>
        <w:pStyle w:val="Normal"/>
        <w:rPr/>
      </w:pPr>
      <w:r>
        <w:rPr/>
        <w:t>The clear difficulty with this approach is to justify the difference between the equity cost of capital and the equity discount rate.</w:t>
      </w:r>
    </w:p>
    <w:p>
      <w:pPr>
        <w:pStyle w:val="Normal"/>
        <w:rPr/>
      </w:pPr>
      <w:r>
        <w:rPr/>
      </w:r>
    </w:p>
    <w:p>
      <w:pPr>
        <w:pStyle w:val="Normal"/>
        <w:rPr>
          <w:b/>
        </w:rPr>
      </w:pPr>
      <w:r>
        <w:rPr>
          <w:b/>
        </w:rPr>
        <w:t>3</w:t>
        <w:tab/>
        <w:t>Conclusion</w:t>
      </w:r>
    </w:p>
    <w:p>
      <w:pPr>
        <w:pStyle w:val="Normal"/>
        <w:rPr>
          <w:b/>
        </w:rPr>
      </w:pPr>
      <w:r>
        <w:rPr>
          <w:b/>
        </w:rPr>
      </w:r>
    </w:p>
    <w:p>
      <w:pPr>
        <w:pStyle w:val="Normal"/>
        <w:rPr/>
      </w:pPr>
      <w:r>
        <w:rPr/>
        <w:t>Recent transactions involving water companies indicate that it is difficult to justify a value much above RAB.</w:t>
      </w:r>
    </w:p>
    <w:p>
      <w:pPr>
        <w:pStyle w:val="Normal"/>
        <w:rPr/>
      </w:pPr>
      <w:r>
        <w:rPr/>
      </w:r>
    </w:p>
    <w:p>
      <w:pPr>
        <w:pStyle w:val="Normal"/>
        <w:rPr/>
      </w:pPr>
      <w:r>
        <w:rPr/>
        <w:t xml:space="preserve">To achieve the current book value of the business would require a significant increase in prices and, by definition, the companies being allowed to earn returns significantly in excess of the cost of capital  </w:t>
      </w:r>
    </w:p>
    <w:p>
      <w:pPr>
        <w:pStyle w:val="Normal"/>
        <w:rPr/>
      </w:pPr>
      <w:r>
        <w:rPr/>
      </w:r>
    </w:p>
    <w:p>
      <w:pPr>
        <w:pStyle w:val="Normal"/>
        <w:rPr/>
      </w:pPr>
      <w:r>
        <w:rPr/>
        <w:t xml:space="preserve">The alternative would be for ENRON to value Wessex’s equity on a DCF basis using a discount rate which is much closer to the cost of debt capital than it is to equity. </w:t>
      </w:r>
    </w:p>
    <w:p>
      <w:pPr>
        <w:pStyle w:val="Normal"/>
        <w:rPr/>
      </w:pPr>
      <w:r>
        <w:rPr/>
      </w:r>
    </w:p>
    <w:p>
      <w:pPr>
        <w:pStyle w:val="Normal"/>
        <w:rPr/>
      </w:pPr>
      <w:r>
        <w:rPr/>
        <w:t xml:space="preserve">Even then price increases are likely to be necessary. Politically this will be difficult to achieve. </w:t>
      </w:r>
    </w:p>
    <w:p>
      <w:pPr>
        <w:pStyle w:val="Normal"/>
        <w:rPr/>
      </w:pPr>
      <w:r>
        <w:rPr/>
      </w:r>
    </w:p>
    <w:sectPr>
      <w:footnotePr>
        <w:numFmt w:val="decimal"/>
      </w:footnote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Humnst BT">
    <w:charset w:val="00" w:characterSet="windows-1252"/>
    <w:family w:val="swiss"/>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also considered the extent of cost reductions which would be necessary to achieve the same result.  In almost every scenario we would have to remove most if not all of our operating expenditure in 2005 to achieve the desired valuation.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BodyText"/>
    <w:qFormat/>
    <w:pPr>
      <w:pageBreakBefore/>
      <w:numPr>
        <w:ilvl w:val="0"/>
        <w:numId w:val="2"/>
      </w:numPr>
      <w:pBdr>
        <w:bottom w:val="single" w:sz="12" w:space="2" w:color="000000"/>
      </w:pBdr>
      <w:spacing w:before="0" w:after="240"/>
      <w:ind w:hanging="851" w:start="851" w:end="0"/>
      <w:outlineLvl w:val="0"/>
    </w:pPr>
    <w:rPr>
      <w:b/>
      <w:sz w:val="36"/>
    </w:rPr>
  </w:style>
  <w:style w:type="paragraph" w:styleId="Heading2">
    <w:name w:val="heading 2"/>
    <w:basedOn w:val="Normal"/>
    <w:next w:val="BodyText"/>
    <w:qFormat/>
    <w:pPr>
      <w:keepNext w:val="true"/>
      <w:numPr>
        <w:ilvl w:val="0"/>
        <w:numId w:val="2"/>
      </w:numPr>
      <w:spacing w:before="480" w:after="0"/>
      <w:ind w:hanging="851" w:start="851" w:end="0"/>
      <w:outlineLvl w:val="1"/>
    </w:pPr>
    <w:rPr>
      <w:b/>
      <w:sz w:val="28"/>
    </w:rPr>
  </w:style>
  <w:style w:type="paragraph" w:styleId="Heading3">
    <w:name w:val="heading 3"/>
    <w:basedOn w:val="Normal"/>
    <w:next w:val="BodyText"/>
    <w:qFormat/>
    <w:pPr>
      <w:keepNext w:val="true"/>
      <w:numPr>
        <w:ilvl w:val="0"/>
        <w:numId w:val="2"/>
      </w:numPr>
      <w:spacing w:before="360" w:after="0"/>
      <w:ind w:hanging="851" w:start="851" w:end="0"/>
      <w:outlineLvl w:val="2"/>
    </w:pPr>
    <w:rPr>
      <w:b/>
    </w:rPr>
  </w:style>
  <w:style w:type="paragraph" w:styleId="Heading4">
    <w:name w:val="heading 4"/>
    <w:basedOn w:val="Normal"/>
    <w:next w:val="BodyText"/>
    <w:qFormat/>
    <w:pPr>
      <w:keepNext w:val="true"/>
      <w:numPr>
        <w:ilvl w:val="0"/>
        <w:numId w:val="2"/>
      </w:numPr>
      <w:ind w:hanging="851" w:start="851" w:end="0"/>
      <w:outlineLvl w:val="3"/>
    </w:pPr>
    <w:rPr>
      <w:b/>
    </w:rPr>
  </w:style>
  <w:style w:type="paragraph" w:styleId="Heading5">
    <w:name w:val="heading 5"/>
    <w:basedOn w:val="Normal"/>
    <w:next w:val="Normal"/>
    <w:qFormat/>
    <w:pPr>
      <w:numPr>
        <w:ilvl w:val="0"/>
        <w:numId w:val="2"/>
      </w:numPr>
      <w:spacing w:before="0" w:after="60"/>
      <w:outlineLvl w:val="4"/>
    </w:pPr>
    <w:rPr>
      <w:rFonts w:ascii="Arial" w:hAnsi="Arial" w:cs="Arial"/>
    </w:rPr>
  </w:style>
  <w:style w:type="paragraph" w:styleId="Heading6">
    <w:name w:val="heading 6"/>
    <w:basedOn w:val="Normal"/>
    <w:next w:val="Normal"/>
    <w:qFormat/>
    <w:pPr>
      <w:numPr>
        <w:ilvl w:val="0"/>
        <w:numId w:val="2"/>
      </w:numPr>
      <w:spacing w:before="0" w:after="60"/>
      <w:outlineLvl w:val="5"/>
    </w:pPr>
    <w:rPr>
      <w:rFonts w:ascii="Arial" w:hAnsi="Arial" w:cs="Arial"/>
      <w:i/>
    </w:rPr>
  </w:style>
  <w:style w:type="paragraph" w:styleId="Heading7">
    <w:name w:val="heading 7"/>
    <w:basedOn w:val="Normal"/>
    <w:next w:val="Normal"/>
    <w:qFormat/>
    <w:pPr>
      <w:numPr>
        <w:ilvl w:val="0"/>
        <w:numId w:val="2"/>
      </w:numPr>
      <w:spacing w:before="0" w:after="60"/>
      <w:outlineLvl w:val="6"/>
    </w:pPr>
    <w:rPr>
      <w:rFonts w:ascii="Arial" w:hAnsi="Arial" w:cs="Arial"/>
    </w:rPr>
  </w:style>
  <w:style w:type="paragraph" w:styleId="Heading8">
    <w:name w:val="heading 8"/>
    <w:basedOn w:val="Normal"/>
    <w:next w:val="Normal"/>
    <w:qFormat/>
    <w:pPr>
      <w:numPr>
        <w:ilvl w:val="0"/>
        <w:numId w:val="2"/>
      </w:numPr>
      <w:spacing w:before="0" w:after="60"/>
      <w:outlineLvl w:val="7"/>
    </w:pPr>
    <w:rPr>
      <w:rFonts w:ascii="Arial" w:hAnsi="Arial" w:cs="Arial"/>
      <w:i/>
    </w:rPr>
  </w:style>
  <w:style w:type="paragraph" w:styleId="Heading9">
    <w:name w:val="heading 9"/>
    <w:basedOn w:val="Heading1"/>
    <w:next w:val="BodyText"/>
    <w:qFormat/>
    <w:pPr>
      <w:numPr>
        <w:ilvl w:val="0"/>
        <w:numId w:val="2"/>
      </w:numPr>
      <w:tabs>
        <w:tab w:val="clear" w:pos="720"/>
        <w:tab w:val="left" w:pos="360" w:leader="none"/>
      </w:tabs>
      <w:ind w:hanging="2381" w:start="2381" w:end="0"/>
      <w:outlineLvl w:val="8"/>
    </w:pPr>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ZapfHumnst BT" w:hAnsi="ZapfHumnst BT" w:cs="ZapfHumnst B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ind w:hanging="0" w:start="851"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1134" w:end="0"/>
    </w:pPr>
    <w:rPr/>
  </w:style>
  <w:style w:type="paragraph" w:styleId="FigureCaption">
    <w:name w:val="Figure Caption"/>
    <w:basedOn w:val="Normal"/>
    <w:qFormat/>
    <w:pPr>
      <w:spacing w:before="0" w:after="120"/>
      <w:ind w:hanging="0" w:start="113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next w:val="Normal"/>
    <w:pPr>
      <w:tabs>
        <w:tab w:val="clear" w:pos="720"/>
        <w:tab w:val="right" w:pos="9072" w:leader="none"/>
      </w:tabs>
    </w:pPr>
    <w:rPr>
      <w:sz w:val="18"/>
    </w:rPr>
  </w:style>
  <w:style w:type="paragraph" w:styleId="Header">
    <w:name w:val="header"/>
    <w:basedOn w:val="Normal"/>
    <w:pPr>
      <w:tabs>
        <w:tab w:val="clear" w:pos="720"/>
        <w:tab w:val="center" w:pos="4153" w:leader="none"/>
        <w:tab w:val="right" w:pos="8306" w:leader="none"/>
      </w:tabs>
    </w:pPr>
    <w:rPr/>
  </w:style>
  <w:style w:type="paragraph" w:styleId="Heading1nonumbering">
    <w:name w:val="Heading 1 no numbering"/>
    <w:basedOn w:val="Heading1"/>
    <w:next w:val="BodyText"/>
    <w:qFormat/>
    <w:pPr>
      <w:numPr>
        <w:ilvl w:val="0"/>
        <w:numId w:val="2"/>
      </w:numPr>
      <w:tabs>
        <w:tab w:val="clear" w:pos="720"/>
      </w:tabs>
      <w:ind w:firstLine="851" w:start="0" w:end="0"/>
      <w:outlineLvl w:val="9"/>
    </w:pPr>
    <w:rPr/>
  </w:style>
  <w:style w:type="paragraph" w:styleId="Heading2nonumbering">
    <w:name w:val="Heading 2 no numbering"/>
    <w:basedOn w:val="Heading2"/>
    <w:next w:val="BodyText"/>
    <w:qFormat/>
    <w:pPr>
      <w:numPr>
        <w:ilvl w:val="0"/>
        <w:numId w:val="2"/>
      </w:numPr>
      <w:tabs>
        <w:tab w:val="clear" w:pos="720"/>
      </w:tabs>
      <w:ind w:hanging="0" w:start="851" w:end="0"/>
      <w:outlineLvl w:val="9"/>
    </w:pPr>
    <w:rPr/>
  </w:style>
  <w:style w:type="paragraph" w:styleId="Heading3nonumbering">
    <w:name w:val="Heading 3 no numbering"/>
    <w:basedOn w:val="Heading3"/>
    <w:next w:val="BodyText"/>
    <w:qFormat/>
    <w:pPr>
      <w:numPr>
        <w:ilvl w:val="0"/>
        <w:numId w:val="2"/>
      </w:numPr>
      <w:tabs>
        <w:tab w:val="clear" w:pos="720"/>
      </w:tabs>
      <w:ind w:hanging="0" w:start="851" w:end="0"/>
      <w:outlineLvl w:val="9"/>
    </w:pPr>
    <w:rPr/>
  </w:style>
  <w:style w:type="paragraph" w:styleId="Heading4nonumbering">
    <w:name w:val="Heading 4 no numbering"/>
    <w:basedOn w:val="Heading4"/>
    <w:next w:val="BodyText"/>
    <w:qFormat/>
    <w:pPr>
      <w:numPr>
        <w:ilvl w:val="0"/>
        <w:numId w:val="2"/>
      </w:numPr>
      <w:tabs>
        <w:tab w:val="clear" w:pos="720"/>
      </w:tabs>
      <w:ind w:hanging="0" w:start="851" w:end="0"/>
      <w:outlineLvl w:val="9"/>
    </w:pPr>
    <w:rPr/>
  </w:style>
  <w:style w:type="paragraph" w:styleId="ListBullet">
    <w:name w:val="List Bullet"/>
    <w:basedOn w:val="Normal"/>
    <w:qFormat/>
    <w:pPr>
      <w:numPr>
        <w:ilvl w:val="0"/>
        <w:numId w:val="5"/>
      </w:numPr>
      <w:spacing w:before="60" w:after="60"/>
      <w:ind w:hanging="284" w:start="1135" w:end="567"/>
    </w:pPr>
    <w:rPr/>
  </w:style>
  <w:style w:type="paragraph" w:styleId="ListBulletIndent">
    <w:name w:val="List Bullet Indent"/>
    <w:basedOn w:val="ListBullet"/>
    <w:qFormat/>
    <w:pPr>
      <w:ind w:hanging="284" w:start="1418" w:end="567"/>
    </w:pPr>
    <w:rPr/>
  </w:style>
  <w:style w:type="paragraph" w:styleId="ListBulletnospace">
    <w:name w:val="List Bullet no space"/>
    <w:basedOn w:val="ListBullet"/>
    <w:qFormat/>
    <w:pPr>
      <w:spacing w:before="0" w:after="0"/>
    </w:pPr>
    <w:rPr/>
  </w:style>
  <w:style w:type="paragraph" w:styleId="ListNumber">
    <w:name w:val="List Number"/>
    <w:basedOn w:val="Normal"/>
    <w:qFormat/>
    <w:pPr>
      <w:numPr>
        <w:ilvl w:val="0"/>
        <w:numId w:val="6"/>
      </w:numPr>
      <w:spacing w:before="60" w:after="60"/>
      <w:ind w:hanging="284" w:start="1135" w:end="567"/>
    </w:pPr>
    <w:rPr/>
  </w:style>
  <w:style w:type="paragraph" w:styleId="ListLetter">
    <w:name w:val="List Letter"/>
    <w:basedOn w:val="ListNumber"/>
    <w:qFormat/>
    <w:pPr>
      <w:numPr>
        <w:ilvl w:val="0"/>
        <w:numId w:val="7"/>
      </w:numPr>
    </w:pPr>
    <w:rPr/>
  </w:style>
  <w:style w:type="paragraph" w:styleId="NormalIndent">
    <w:name w:val="Normal Indent"/>
    <w:basedOn w:val="Normal"/>
    <w:qFormat/>
    <w:pPr>
      <w:ind w:hanging="0" w:start="1134" w:end="0"/>
    </w:pPr>
    <w:rPr/>
  </w:style>
  <w:style w:type="paragraph" w:styleId="TableCaption">
    <w:name w:val="Table Caption"/>
    <w:basedOn w:val="Normal"/>
    <w:next w:val="Normal"/>
    <w:qFormat/>
    <w:pPr>
      <w:spacing w:before="240" w:after="120"/>
      <w:ind w:hanging="0" w:start="1134" w:end="0"/>
    </w:pPr>
    <w:rPr/>
  </w:style>
  <w:style w:type="paragraph" w:styleId="TableContents">
    <w:name w:val="Table Contents"/>
    <w:basedOn w:val="Normal"/>
    <w:qFormat/>
    <w:pPr>
      <w:widowControl w:val="false"/>
      <w:suppressLineNumbers/>
    </w:pPr>
    <w:rPr/>
  </w:style>
  <w:style w:type="paragraph" w:styleId="TableHeading">
    <w:name w:val="Table Heading"/>
    <w:basedOn w:val="Normal"/>
    <w:next w:val="Normal"/>
    <w:qFormat/>
    <w:pPr>
      <w:widowControl/>
      <w:suppressAutoHyphens w:val="true"/>
      <w:spacing w:before="60" w:after="60"/>
      <w:jc w:val="both"/>
    </w:pPr>
    <w:rPr>
      <w:b/>
      <w:sz w:val="20"/>
    </w:rPr>
  </w:style>
  <w:style w:type="paragraph" w:styleId="TableText">
    <w:name w:val="Table Text"/>
    <w:basedOn w:val="BodyText"/>
    <w:qFormat/>
    <w:pPr>
      <w:widowControl/>
      <w:spacing w:before="60" w:after="60"/>
      <w:jc w:val="both"/>
    </w:pPr>
    <w:rPr>
      <w:sz w:val="20"/>
    </w:rPr>
  </w:style>
  <w:style w:type="paragraph" w:styleId="TOC1">
    <w:name w:val="toc 1"/>
    <w:basedOn w:val="Normal"/>
    <w:next w:val="Normal"/>
    <w:pPr>
      <w:tabs>
        <w:tab w:val="clear" w:pos="720"/>
        <w:tab w:val="left" w:pos="1418" w:leader="none"/>
        <w:tab w:val="right" w:pos="8504" w:leader="none"/>
      </w:tabs>
      <w:spacing w:before="240" w:after="0"/>
      <w:ind w:hanging="0" w:start="851" w:end="0"/>
    </w:pPr>
    <w:rPr>
      <w:b/>
    </w:rPr>
  </w:style>
  <w:style w:type="paragraph" w:styleId="TOC2">
    <w:name w:val="toc 2"/>
    <w:basedOn w:val="TOC1"/>
    <w:next w:val="Normal"/>
    <w:pPr>
      <w:spacing w:before="120" w:after="0"/>
    </w:pPr>
    <w:rPr>
      <w:b w:val="false"/>
    </w:rPr>
  </w:style>
  <w:style w:type="paragraph" w:styleId="TOC3">
    <w:name w:val="toc 3"/>
    <w:basedOn w:val="TOC2"/>
    <w:next w:val="Normal"/>
    <w:pPr/>
    <w:rPr/>
  </w:style>
  <w:style w:type="paragraph" w:styleId="TOC4">
    <w:name w:val="toc 4"/>
    <w:basedOn w:val="TOC3"/>
    <w:next w:val="Normal"/>
    <w:pPr/>
    <w:rPr/>
  </w:style>
  <w:style w:type="paragraph" w:styleId="TOC5">
    <w:name w:val="toc 5"/>
    <w:basedOn w:val="Normal"/>
    <w:next w:val="Normal"/>
    <w:pPr>
      <w:tabs>
        <w:tab w:val="clear" w:pos="720"/>
        <w:tab w:val="right" w:pos="8504" w:leader="none"/>
      </w:tabs>
      <w:ind w:hanging="0" w:start="660" w:end="0"/>
    </w:pPr>
    <w:rPr>
      <w:sz w:val="18"/>
    </w:rPr>
  </w:style>
  <w:style w:type="paragraph" w:styleId="TOC6">
    <w:name w:val="toc 6"/>
    <w:basedOn w:val="Normal"/>
    <w:next w:val="Normal"/>
    <w:pPr>
      <w:tabs>
        <w:tab w:val="clear" w:pos="720"/>
        <w:tab w:val="right" w:pos="8504" w:leader="none"/>
      </w:tabs>
      <w:ind w:hanging="0" w:start="880" w:end="0"/>
    </w:pPr>
    <w:rPr>
      <w:sz w:val="18"/>
    </w:rPr>
  </w:style>
  <w:style w:type="paragraph" w:styleId="TOC7">
    <w:name w:val="toc 7"/>
    <w:basedOn w:val="Normal"/>
    <w:next w:val="Normal"/>
    <w:pPr>
      <w:tabs>
        <w:tab w:val="clear" w:pos="720"/>
        <w:tab w:val="right" w:pos="8504" w:leader="none"/>
      </w:tabs>
      <w:ind w:hanging="0" w:start="1100" w:end="0"/>
    </w:pPr>
    <w:rPr>
      <w:sz w:val="18"/>
    </w:rPr>
  </w:style>
  <w:style w:type="paragraph" w:styleId="TOC8">
    <w:name w:val="toc 8"/>
    <w:basedOn w:val="Normal"/>
    <w:next w:val="Normal"/>
    <w:pPr>
      <w:tabs>
        <w:tab w:val="clear" w:pos="720"/>
        <w:tab w:val="right" w:pos="8504" w:leader="none"/>
      </w:tabs>
      <w:ind w:hanging="0" w:start="1320" w:end="0"/>
    </w:pPr>
    <w:rPr>
      <w:sz w:val="18"/>
    </w:rPr>
  </w:style>
  <w:style w:type="paragraph" w:styleId="TOC9">
    <w:name w:val="toc 9"/>
    <w:basedOn w:val="TOC1"/>
    <w:next w:val="Normal"/>
    <w:pPr>
      <w:ind w:hanging="0" w:start="1701" w:end="0"/>
    </w:pPr>
    <w:rPr/>
  </w:style>
  <w:style w:type="paragraph" w:styleId="TocHead">
    <w:name w:val="Toc Head"/>
    <w:basedOn w:val="Normal"/>
    <w:next w:val="TOC1"/>
    <w:qFormat/>
    <w:pPr>
      <w:keepNext w:val="true"/>
      <w:keepLines/>
      <w:widowControl/>
      <w:tabs>
        <w:tab w:val="clear" w:pos="720"/>
        <w:tab w:val="right" w:pos="8505" w:leader="none"/>
      </w:tabs>
      <w:spacing w:before="180" w:after="0"/>
      <w:ind w:hanging="0" w:start="851" w:end="0"/>
    </w:pPr>
    <w:rPr>
      <w:i/>
    </w:rPr>
  </w:style>
  <w:style w:type="paragraph" w:styleId="TOCTitle">
    <w:name w:val="TOC Title"/>
    <w:basedOn w:val="Heading1"/>
    <w:next w:val="Normal"/>
    <w:qFormat/>
    <w:pPr>
      <w:numPr>
        <w:ilvl w:val="0"/>
        <w:numId w:val="2"/>
      </w:numPr>
      <w:tabs>
        <w:tab w:val="clear" w:pos="720"/>
      </w:tabs>
      <w:outlineLvl w:val="9"/>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2001-06-27T08:53:00Z</dcterms:created>
  <dc:creator>Keith Harris</dc:creator>
  <dc:description/>
  <dc:language>en-CA</dc:language>
  <cp:lastModifiedBy>Keith Harris</cp:lastModifiedBy>
  <cp:lastPrinted>2001-06-29T10:31:00Z</cp:lastPrinted>
  <dcterms:modified xsi:type="dcterms:W3CDTF">2001-06-29T07:18:00Z</dcterms:modified>
  <cp:revision>7</cp:revision>
  <dc:subject/>
  <dc:title>Wessex Water valuation</dc:title>
</cp:coreProperties>
</file>