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WESTPORT OIL AND GAS COMPANY,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Westport Oil and Gas Company, Inc.</w:t>
      </w:r>
      <w:r>
        <w:rPr>
          <w:sz w:val="20"/>
        </w:rPr>
        <w:t>, a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 and subject to Gatherer’s compliance with the terms and conditions of this Agreement,</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shall remain in effect for a period of ten (10) Years from the Effective Date (the "</w:t>
      </w:r>
      <w:r>
        <w:rPr>
          <w:sz w:val="20"/>
          <w:u w:val="single"/>
        </w:rPr>
        <w:t>Primary Term</w:t>
      </w:r>
      <w:r>
        <w:rPr>
          <w:sz w:val="20"/>
        </w:rPr>
        <w:t>"),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initial gathering fee ("</w:t>
      </w:r>
      <w:r>
        <w:rPr>
          <w:sz w:val="20"/>
          <w:u w:val="single"/>
        </w:rPr>
        <w:t>Gathering Fee</w:t>
      </w:r>
      <w:r>
        <w:rPr>
          <w:sz w:val="20"/>
        </w:rPr>
        <w:t>") for Gathering Services shall be $0.50 per Mcf, plus actual fuel and shrinkage,</w:t>
      </w:r>
      <w:r>
        <w:rPr>
          <w:b/>
          <w:sz w:val="20"/>
        </w:rPr>
        <w:t xml:space="preserve"> </w:t>
      </w:r>
      <w:r>
        <w:rPr>
          <w:sz w:val="20"/>
        </w:rPr>
        <w:t>for Owner's quantity of gas as measured at the Measurement Points(s).  The parties acknowledge that the $0.50 component of the Gathering Fee is comprised of the following: (1) $0.20/Mcf for gathering upstream of compression, (2) $0.15/Mcf for compression, and (3) $0.15/Mcf for gathering downstream of compression.</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forty-five (45)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8640" w:type="dxa"/>
        <w:jc w:val="start"/>
        <w:tblInd w:w="738" w:type="dxa"/>
        <w:tblLayout w:type="fixed"/>
        <w:tblCellMar>
          <w:top w:w="0" w:type="dxa"/>
          <w:start w:w="108" w:type="dxa"/>
          <w:bottom w:w="0" w:type="dxa"/>
          <w:end w:w="108" w:type="dxa"/>
        </w:tblCellMar>
      </w:tblPr>
      <w:tblGrid>
        <w:gridCol w:w="4590"/>
        <w:gridCol w:w="4050"/>
      </w:tblGrid>
      <w:tr>
        <w:trPr/>
        <w:tc>
          <w:tcPr>
            <w:tcW w:w="4590" w:type="dxa"/>
            <w:tcBorders/>
          </w:tcPr>
          <w:p>
            <w:pPr>
              <w:pStyle w:val="Normal"/>
              <w:keepNext w:val="true"/>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4050" w:type="dxa"/>
            <w:tcBorders/>
          </w:tcPr>
          <w:p>
            <w:pPr>
              <w:pStyle w:val="Normal"/>
              <w:keepNext w:val="true"/>
              <w:tabs>
                <w:tab w:val="clear" w:pos="720"/>
                <w:tab w:val="left" w:pos="3132" w:leader="none"/>
              </w:tabs>
              <w:spacing w:before="240" w:after="0"/>
              <w:rPr>
                <w:b/>
                <w:smallCaps/>
              </w:rPr>
            </w:pPr>
            <w:r>
              <w:rPr>
                <w:b/>
                <w:smallCaps/>
              </w:rPr>
              <w:t>Owner:</w:t>
            </w:r>
          </w:p>
          <w:p>
            <w:pPr>
              <w:pStyle w:val="Normal"/>
              <w:keepNext w:val="true"/>
              <w:tabs>
                <w:tab w:val="clear" w:pos="720"/>
                <w:tab w:val="left" w:pos="3132" w:leader="none"/>
              </w:tabs>
              <w:spacing w:before="240" w:after="0"/>
              <w:ind w:start="252" w:end="0"/>
              <w:rPr>
                <w:b/>
                <w:smallCaps/>
              </w:rPr>
            </w:pPr>
            <w:r>
              <w:rPr>
                <w:b/>
              </w:rPr>
              <w:t>Notices</w:t>
            </w:r>
            <w:r>
              <w:rPr/>
              <w:t>:</w:t>
            </w:r>
          </w:p>
        </w:tc>
      </w:tr>
      <w:tr>
        <w:trPr/>
        <w:tc>
          <w:tcPr>
            <w:tcW w:w="459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4050" w:type="dxa"/>
            <w:tcBorders/>
          </w:tcPr>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Jeff Shaffer</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tabs>
                <w:tab w:val="clear" w:pos="720"/>
                <w:tab w:val="left" w:pos="3132" w:leader="none"/>
                <w:tab w:val="left" w:pos="4122" w:leader="none"/>
                <w:tab w:val="left" w:pos="4842" w:leader="none"/>
              </w:tabs>
              <w:jc w:val="both"/>
              <w:rPr/>
            </w:pPr>
            <w:r>
              <w:rPr/>
              <w:t xml:space="preserve">Denver, CO  80202-4436                   </w:t>
            </w:r>
          </w:p>
          <w:p>
            <w:pPr>
              <w:pStyle w:val="Normal"/>
              <w:tabs>
                <w:tab w:val="clear" w:pos="720"/>
                <w:tab w:val="left" w:pos="3132" w:leader="none"/>
              </w:tabs>
              <w:jc w:val="both"/>
              <w:rPr/>
            </w:pPr>
            <w:r>
              <w:rPr/>
              <w:t xml:space="preserve">Phone: (303) 573-5404                       </w:t>
            </w:r>
          </w:p>
          <w:p>
            <w:pPr>
              <w:pStyle w:val="Normal"/>
              <w:tabs>
                <w:tab w:val="clear" w:pos="720"/>
                <w:tab w:val="left" w:pos="3132" w:leader="none"/>
              </w:tabs>
              <w:jc w:val="both"/>
              <w:rPr/>
            </w:pPr>
            <w:r>
              <w:rPr/>
              <w:t xml:space="preserve">Fax: (303) 573-5609 </w:t>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pPr>
            <w:r>
              <w:rPr>
                <w:b/>
              </w:rPr>
              <w:t xml:space="preserve">     </w:t>
            </w:r>
            <w:r>
              <w:rPr>
                <w:b/>
              </w:rPr>
              <w:t>Nominations/Confirmations</w:t>
            </w:r>
            <w:r>
              <w:rPr/>
              <w:t>:</w:t>
            </w:r>
          </w:p>
          <w:p>
            <w:pPr>
              <w:pStyle w:val="Normal"/>
              <w:keepNext w:val="true"/>
              <w:tabs>
                <w:tab w:val="clear" w:pos="720"/>
                <w:tab w:val="left" w:pos="3132" w:leader="none"/>
              </w:tabs>
              <w:rPr/>
            </w:pPr>
            <w:r>
              <w:rPr/>
              <w:t>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w:t>
            </w:r>
          </w:p>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Revenue Account</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keepNext w:val="true"/>
              <w:tabs>
                <w:tab w:val="clear" w:pos="720"/>
                <w:tab w:val="left" w:pos="3132" w:leader="none"/>
              </w:tabs>
              <w:rPr/>
            </w:pPr>
            <w:r>
              <w:rPr/>
              <w:t>Denver, CO  80202-4436</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w:t>
            </w:r>
          </w:p>
        </w:tc>
      </w:tr>
      <w:tr>
        <w:trPr/>
        <w:tc>
          <w:tcPr>
            <w:tcW w:w="459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405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WESTPORT OIL AND GAS COMPANY, INC.</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t>Name:</w:t>
        <w:tab/>
      </w:r>
      <w:r>
        <w:rPr>
          <w:u w:val="single"/>
        </w:rPr>
        <w:tab/>
        <w:tab/>
        <w:tab/>
        <w:tab/>
        <w:tab/>
      </w:r>
      <w:r>
        <w:rPr/>
        <w:tab/>
        <w:t>Name:</w:t>
        <w:tab/>
        <w:t>Barth E. Whitham</w:t>
      </w:r>
    </w:p>
    <w:p>
      <w:pPr>
        <w:pStyle w:val="Normal"/>
        <w:rPr/>
      </w:pPr>
      <w:r>
        <w:rPr/>
        <w:t>Title:</w:t>
        <w:tab/>
      </w:r>
      <w:r>
        <w:rPr>
          <w:u w:val="single"/>
        </w:rPr>
        <w:tab/>
        <w:tab/>
        <w:tab/>
        <w:tab/>
        <w:tab/>
      </w:r>
      <w:r>
        <w:rPr/>
        <w:tab/>
        <w:t>Title:</w:t>
        <w:tab/>
        <w:t>President</w:t>
      </w:r>
      <w:r>
        <w:rPr>
          <w:u w:val="single"/>
        </w:rPr>
        <w:tab/>
      </w:r>
      <w:r>
        <w:br w:type="page"/>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Owner’s interest in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Should there be any change from the Nomination as provided in Paragraph 2.1 above, Owner shall submit changes to its first-of-the-month nominations in writing to Gatherer, by facsimile or electronically, no later than 9:00 a.m. C.T., one Day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is less than 1,000 Mcf at a screw compressor  hereunder for ninety (90) consecutive Days for reasons other than curtailment, dewatering, waste water disposal restrictions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and acreage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or permits,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sz w:val="20"/>
        </w:rPr>
      </w:pPr>
      <w:r>
        <w:rPr>
          <w:sz w:val="20"/>
        </w:rPr>
      </w:r>
    </w:p>
    <w:p>
      <w:pPr>
        <w:pStyle w:val="Footer"/>
        <w:tabs>
          <w:tab w:val="clear" w:pos="4320"/>
          <w:tab w:val="clear" w:pos="8640"/>
        </w:tabs>
        <w:jc w:val="center"/>
        <w:rPr>
          <w:sz w:val="20"/>
        </w:rPr>
      </w:pPr>
      <w:r>
        <w:rPr>
          <w:sz w:val="20"/>
        </w:rPr>
      </w:r>
    </w:p>
    <w:p>
      <w:pPr>
        <w:pStyle w:val="Footer"/>
        <w:tabs>
          <w:tab w:val="clear" w:pos="4320"/>
          <w:tab w:val="clear" w:pos="8640"/>
        </w:tabs>
        <w:jc w:val="both"/>
        <w:rPr>
          <w:sz w:val="20"/>
        </w:rPr>
      </w:pPr>
      <w:r>
        <w:rPr>
          <w:sz w:val="20"/>
        </w:rPr>
        <w:t>The Lands committed to this Agreement shall include the following: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u w:val="single"/>
        </w:rPr>
        <w:t>Location</w:t>
      </w:r>
      <w:r>
        <w:rPr>
          <w:sz w:val="20"/>
        </w:rPr>
        <w:tab/>
      </w:r>
      <w:r>
        <w:rPr>
          <w:sz w:val="20"/>
          <w:u w:val="single"/>
        </w:rPr>
        <w:t>Section</w:t>
      </w:r>
      <w:r>
        <w:rPr>
          <w:sz w:val="20"/>
        </w:rPr>
        <w:tab/>
        <w:tab/>
      </w:r>
      <w:r>
        <w:rPr>
          <w:sz w:val="20"/>
          <w:u w:val="single"/>
        </w:rPr>
        <w:t>Township</w:t>
      </w:r>
      <w:r>
        <w:rPr>
          <w:sz w:val="20"/>
        </w:rPr>
        <w:tab/>
      </w:r>
      <w:r>
        <w:rPr>
          <w:sz w:val="20"/>
          <w:u w:val="single"/>
        </w:rPr>
        <w:t>Range</w:t>
      </w:r>
      <w:r>
        <w:rPr>
          <w:sz w:val="20"/>
        </w:rPr>
        <w:tab/>
        <w:tab/>
      </w:r>
      <w:r>
        <w:rPr>
          <w:sz w:val="20"/>
          <w:u w:val="single"/>
        </w:rPr>
        <w:t>County</w:t>
      </w:r>
      <w:r>
        <w:rPr>
          <w:sz w:val="20"/>
        </w:rPr>
        <w:tab/>
        <w:tab/>
      </w:r>
      <w:r>
        <w:rPr>
          <w:sz w:val="20"/>
          <w:u w:val="single"/>
        </w:rPr>
        <w:t>State</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NESE</w:t>
        <w:tab/>
        <w:tab/>
        <w:t>6</w:t>
        <w:tab/>
        <w:tab/>
        <w:t>48N</w:t>
        <w:tab/>
        <w:tab/>
        <w:t>72W</w:t>
        <w:tab/>
        <w:tab/>
        <w:t>Campbell</w:t>
        <w:tab/>
        <w:t>Wyoming</w:t>
      </w:r>
    </w:p>
    <w:p>
      <w:pPr>
        <w:pStyle w:val="Footer"/>
        <w:tabs>
          <w:tab w:val="clear" w:pos="4320"/>
          <w:tab w:val="clear" w:pos="8640"/>
        </w:tabs>
        <w:jc w:val="both"/>
        <w:rPr>
          <w:sz w:val="20"/>
        </w:rPr>
      </w:pPr>
      <w:r>
        <w:rPr>
          <w:sz w:val="20"/>
        </w:rPr>
        <w:t>N/2</w:t>
        <w:tab/>
        <w:tab/>
        <w:t>5</w:t>
        <w:tab/>
        <w:tab/>
        <w:t>48N</w:t>
        <w:tab/>
        <w:tab/>
        <w:t>72W</w:t>
        <w:tab/>
        <w:tab/>
        <w:t>Campbell</w:t>
        <w:tab/>
        <w:t>Wyoming</w:t>
      </w:r>
    </w:p>
    <w:p>
      <w:pPr>
        <w:pStyle w:val="Footer"/>
        <w:tabs>
          <w:tab w:val="clear" w:pos="4320"/>
          <w:tab w:val="clear" w:pos="8640"/>
        </w:tabs>
        <w:jc w:val="both"/>
        <w:rPr>
          <w:sz w:val="20"/>
        </w:rPr>
      </w:pPr>
      <w:r>
        <w:rPr>
          <w:sz w:val="20"/>
        </w:rPr>
        <w:t>SE/4</w:t>
        <w:tab/>
        <w:tab/>
        <w:t>5</w:t>
        <w:tab/>
        <w:tab/>
        <w:t>48N</w:t>
        <w:tab/>
        <w:tab/>
        <w:t>72W</w:t>
        <w:tab/>
        <w:tab/>
        <w:t>Campbell</w:t>
        <w:tab/>
        <w:t>Wyoming</w:t>
      </w:r>
    </w:p>
    <w:p>
      <w:pPr>
        <w:pStyle w:val="Footer"/>
        <w:tabs>
          <w:tab w:val="clear" w:pos="4320"/>
          <w:tab w:val="clear" w:pos="8640"/>
        </w:tabs>
        <w:jc w:val="both"/>
        <w:rPr>
          <w:sz w:val="20"/>
        </w:rPr>
      </w:pPr>
      <w:r>
        <w:rPr>
          <w:sz w:val="20"/>
        </w:rPr>
        <w:t>N/2SW</w:t>
        <w:tab/>
        <w:tab/>
        <w:t>5</w:t>
        <w:tab/>
        <w:tab/>
        <w:t>48N</w:t>
        <w:tab/>
        <w:tab/>
        <w:t>72W</w:t>
        <w:tab/>
        <w:tab/>
        <w:t>Campbell</w:t>
        <w:tab/>
        <w:t>Wyoming</w:t>
      </w:r>
    </w:p>
    <w:p>
      <w:pPr>
        <w:pStyle w:val="Footer"/>
        <w:tabs>
          <w:tab w:val="clear" w:pos="4320"/>
          <w:tab w:val="clear" w:pos="8640"/>
        </w:tabs>
        <w:jc w:val="both"/>
        <w:rPr>
          <w:sz w:val="20"/>
        </w:rPr>
      </w:pPr>
      <w:r>
        <w:rPr>
          <w:sz w:val="20"/>
        </w:rPr>
        <w:t>SESW</w:t>
        <w:tab/>
        <w:tab/>
        <w:t>5</w:t>
        <w:tab/>
        <w:tab/>
        <w:t>48N</w:t>
        <w:tab/>
        <w:tab/>
        <w:t>72W</w:t>
        <w:tab/>
        <w:tab/>
        <w:t>Campbell</w:t>
        <w:tab/>
        <w:t>Wyoming</w:t>
      </w:r>
    </w:p>
    <w:p>
      <w:pPr>
        <w:pStyle w:val="Footer"/>
        <w:tabs>
          <w:tab w:val="clear" w:pos="4320"/>
          <w:tab w:val="clear" w:pos="8640"/>
        </w:tabs>
        <w:jc w:val="both"/>
        <w:rPr>
          <w:sz w:val="20"/>
        </w:rPr>
      </w:pPr>
      <w:r>
        <w:rPr>
          <w:sz w:val="20"/>
        </w:rPr>
        <w:t>SWSW</w:t>
        <w:tab/>
        <w:tab/>
        <w:t>4</w:t>
        <w:tab/>
        <w:tab/>
        <w:t>48N</w:t>
        <w:tab/>
        <w:tab/>
        <w:t>72W</w:t>
        <w:tab/>
        <w:tab/>
        <w:t>Campbell</w:t>
        <w:tab/>
        <w:t>Wyoming</w:t>
      </w:r>
    </w:p>
    <w:p>
      <w:pPr>
        <w:pStyle w:val="Footer"/>
        <w:tabs>
          <w:tab w:val="clear" w:pos="4320"/>
          <w:tab w:val="clear" w:pos="8640"/>
        </w:tabs>
        <w:jc w:val="both"/>
        <w:rPr>
          <w:sz w:val="20"/>
        </w:rPr>
      </w:pPr>
      <w:r>
        <w:rPr>
          <w:sz w:val="20"/>
        </w:rPr>
        <w:t>N/2NE</w:t>
        <w:tab/>
        <w:tab/>
        <w:t>8</w:t>
        <w:tab/>
        <w:tab/>
        <w:t>48N</w:t>
        <w:tab/>
        <w:tab/>
        <w:t>72W</w:t>
        <w:tab/>
        <w:tab/>
        <w:t>Campbell</w:t>
        <w:tab/>
        <w:t>Wyoming</w:t>
      </w:r>
    </w:p>
    <w:p>
      <w:pPr>
        <w:pStyle w:val="Footer"/>
        <w:tabs>
          <w:tab w:val="clear" w:pos="4320"/>
          <w:tab w:val="clear" w:pos="8640"/>
        </w:tabs>
        <w:jc w:val="both"/>
        <w:rPr>
          <w:sz w:val="20"/>
        </w:rPr>
      </w:pPr>
      <w:r>
        <w:rPr>
          <w:sz w:val="20"/>
        </w:rPr>
        <w:t>SENE</w:t>
        <w:tab/>
        <w:tab/>
        <w:t>8</w:t>
        <w:tab/>
        <w:tab/>
        <w:t>48N</w:t>
        <w:tab/>
        <w:tab/>
        <w:t>72W</w:t>
        <w:tab/>
        <w:tab/>
        <w:t>Campbell</w:t>
        <w:tab/>
        <w:t>Wyoming</w:t>
      </w:r>
    </w:p>
    <w:p>
      <w:pPr>
        <w:pStyle w:val="Footer"/>
        <w:tabs>
          <w:tab w:val="clear" w:pos="4320"/>
          <w:tab w:val="clear" w:pos="8640"/>
        </w:tabs>
        <w:jc w:val="both"/>
        <w:rPr>
          <w:sz w:val="20"/>
        </w:rPr>
      </w:pPr>
      <w:r>
        <w:rPr>
          <w:sz w:val="20"/>
        </w:rPr>
        <w:t>NWNW</w:t>
        <w:tab/>
        <w:tab/>
        <w:t>9</w:t>
        <w:tab/>
        <w:tab/>
        <w:t>48N</w:t>
        <w:tab/>
        <w:tab/>
        <w:t>72W</w:t>
        <w:tab/>
        <w:tab/>
        <w:t>Campbell</w:t>
        <w:tab/>
        <w:t>Wyoming</w:t>
      </w:r>
    </w:p>
    <w:p>
      <w:pPr>
        <w:pStyle w:val="Footer"/>
        <w:tabs>
          <w:tab w:val="clear" w:pos="4320"/>
          <w:tab w:val="clear" w:pos="8640"/>
        </w:tabs>
        <w:jc w:val="both"/>
        <w:rPr>
          <w:sz w:val="20"/>
        </w:rPr>
      </w:pPr>
      <w:r>
        <w:rPr>
          <w:sz w:val="20"/>
        </w:rPr>
        <w:t>S/2NW</w:t>
        <w:tab/>
        <w:tab/>
        <w:t>9</w:t>
        <w:tab/>
        <w:tab/>
        <w:t>48N</w:t>
        <w:tab/>
        <w:tab/>
        <w:t>72W</w:t>
        <w:tab/>
        <w:tab/>
        <w:t>Campbell</w:t>
        <w:tab/>
        <w:t>Wyoming</w:t>
      </w:r>
    </w:p>
    <w:p>
      <w:pPr>
        <w:pStyle w:val="Footer"/>
        <w:tabs>
          <w:tab w:val="clear" w:pos="4320"/>
          <w:tab w:val="clear" w:pos="8640"/>
        </w:tabs>
        <w:jc w:val="both"/>
        <w:rPr>
          <w:sz w:val="20"/>
        </w:rPr>
      </w:pPr>
      <w:r>
        <w:rPr>
          <w:sz w:val="20"/>
        </w:rPr>
        <w:t>SW/4</w:t>
        <w:tab/>
        <w:tab/>
        <w:t>9</w:t>
        <w:tab/>
        <w:tab/>
        <w:t>48N</w:t>
        <w:tab/>
        <w:tab/>
        <w:t>72W</w:t>
        <w:tab/>
        <w:tab/>
        <w:t>Campbell</w:t>
        <w:tab/>
        <w:t>Wyoming</w:t>
      </w:r>
    </w:p>
    <w:p>
      <w:pPr>
        <w:pStyle w:val="Footer"/>
        <w:tabs>
          <w:tab w:val="clear" w:pos="4320"/>
          <w:tab w:val="clear" w:pos="8640"/>
        </w:tabs>
        <w:jc w:val="both"/>
        <w:rPr>
          <w:sz w:val="20"/>
        </w:rPr>
      </w:pPr>
      <w:r>
        <w:rPr>
          <w:sz w:val="20"/>
        </w:rPr>
        <w:t>SWSE</w:t>
        <w:tab/>
        <w:tab/>
        <w:t>9</w:t>
        <w:tab/>
        <w:tab/>
        <w:t>48N</w:t>
        <w:tab/>
        <w:tab/>
        <w:t>72W</w:t>
        <w:tab/>
        <w:tab/>
        <w:t>Campbell</w:t>
        <w:tab/>
        <w:t>Wyoming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Limited to all Formations from the surface to the Base of the Tertiary Age Coal Formation.</w:t>
      </w:r>
    </w:p>
    <w:p>
      <w:pPr>
        <w:pStyle w:val="Footer"/>
        <w:tabs>
          <w:tab w:val="clear" w:pos="4320"/>
          <w:tab w:val="clear" w:pos="8640"/>
        </w:tabs>
        <w:jc w:val="center"/>
        <w:rPr>
          <w:sz w:val="20"/>
        </w:rPr>
      </w:pPr>
      <w:r>
        <w:rPr>
          <w:sz w:val="20"/>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sz w:val="20"/>
        </w:rPr>
      </w:pPr>
      <w:r>
        <w:rPr>
          <w:sz w:val="20"/>
        </w:rPr>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4,000 Mcf per day of Owner’s Daily Deliverability of Gas from Owner’s acreage located in portions of Sections 4, 5, 6, 8 and 9 of 48N/72W in Campbell County, Wyoming, in the Powder River Basin as fully described in Exhibit A hereunder.</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 </w:t>
      </w:r>
      <w:r>
        <w:rPr/>
        <w:t>If, after Owner is producing and delivering the MDQ into Gatherer's facilities, Gatherer in its sole discretion determines it is economic to provide additional gathering and compression facilities for gas in excess of the MDQ, Gatherer shall provide Owner thirty (30) days notice of same.  Gatherer shall diligently proceed with the acquisition of all applicable governmental approvals, permits, and rights-of-way required to construct and install the additional gathering and compression facilities.</w:t>
      </w:r>
    </w:p>
    <w:p>
      <w:pPr>
        <w:pStyle w:val="Normal"/>
        <w:spacing w:before="120" w:after="0"/>
        <w:ind w:firstLine="720" w:end="0"/>
        <w:jc w:val="both"/>
        <w:rPr/>
      </w:pPr>
      <w:r>
        <w:rPr/>
        <w:t xml:space="preserve">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acquisition of all applicable governmental approvals, permits, and rights-of-way required to construct and install  the agreed to additional gathering and compression facilities.  If the parties are unable to agree upon those terms and conditions within thirty (30) days following Gatherer’s notification, then the affected wells shall, at Owner's option, be released from dedicationunder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r>
    </w:p>
    <w:p>
      <w:pPr>
        <w:pStyle w:val="Normal"/>
        <w:spacing w:before="120" w:after="0"/>
        <w:rPr/>
      </w:pPr>
      <w:r>
        <w:rPr/>
        <w:t>Owner’s Appel Pod located in NW/4 SW/4 of Section 9, Township 48N, Range 72W, Campbell County, Wyoming.</w:t>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p>
      <w:pPr>
        <w:pStyle w:val="Normal"/>
        <w:rPr/>
      </w:pPr>
      <w:r>
        <w:rPr/>
      </w:r>
    </w:p>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r>
      <w:rPr>
        <w:sz w:val="1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/mnt/main-storage/datasets/enron-docs/doc/WesportGSA1ctr.doc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1999-12-21T09:58:00Z</dcterms:created>
  <dc:creator>Daniel J. Hyvl</dc:creator>
  <dc:description/>
  <dc:language>en-CA</dc:language>
  <cp:lastModifiedBy>Daniel J. Hyvl</cp:lastModifiedBy>
  <dcterms:modified xsi:type="dcterms:W3CDTF">1999-12-21T10:52:00Z</dcterms:modified>
  <cp:revision>2</cp:revision>
  <dc:subject/>
  <dc:title>GATHERING SERVICES AGREEMENT</dc:title>
</cp:coreProperties>
</file>