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szCs w:val="20"/>
        </w:rPr>
      </w:pPr>
      <w:r>
        <w:rPr>
          <w:sz w:val="20"/>
          <w:szCs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ENRON NORTH AMERICA CORP.</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RESERVES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RESERVES GENERAL TERMS &amp; CONDITIONS GOVERN</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May 1,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caps/>
          <w:sz w:val="20"/>
          <w:szCs w:val="20"/>
        </w:rPr>
        <w:t>Wellstar</w:t>
      </w: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CORPORATION</w:t>
      </w:r>
      <w:r>
        <w:rPr>
          <w:rFonts w:eastAsia="Arial Narrow" w:cs="Arial Narrow" w:ascii="Arial Narrow" w:hAnsi="Arial Narrow"/>
          <w:sz w:val="20"/>
          <w:szCs w:val="20"/>
        </w:rPr>
        <w:t>("</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ENRON NORTH AMERICA CORP.</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Client Services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ABA Routing 111000012 Bank of America Account 3750494099</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pPr>
      <w:r>
        <w:rPr>
          <w:rFonts w:eastAsia="Arial Narrow" w:cs="Arial Narrow" w:ascii="Arial Narrow" w:hAnsi="Arial Narrow"/>
          <w:b/>
          <w:bCs/>
          <w:sz w:val="20"/>
          <w:szCs w:val="20"/>
        </w:rPr>
        <w:t xml:space="preserve">MAXDQ:  </w:t>
      </w:r>
      <w:r>
        <w:rPr>
          <w:rFonts w:eastAsia="Arial Narrow" w:cs="Arial Narrow" w:ascii="Arial Narrow" w:hAnsi="Arial Narrow"/>
          <w:sz w:val="20"/>
          <w:szCs w:val="20"/>
        </w:rPr>
        <w:t>1232 MMBTUS per day</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RELEASED GAS:  </w:t>
      </w:r>
      <w:r>
        <w:rPr>
          <w:rFonts w:eastAsia="Arial Narrow" w:cs="Arial Narrow" w:ascii="Arial Narrow" w:hAnsi="Arial Narrow"/>
          <w:sz w:val="20"/>
          <w:szCs w:val="20"/>
        </w:rPr>
        <w:t xml:space="preserve">Notwithstanding anything to the contrary contained in the GTC (hereafter defined) or this Confirmation, Seller and Buyer agree that the Buyer shall only have the right to take and purchase that portion of the Seller’s Daily Deliverability that has been released from commitment that certain Gas Purchase Agreement (Reserve Committed/Index Pricing) between Buyer and Seller dated October 25, 1999(the “Long Term Contract”).  Furthermore,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WYOMING ROYALTY ACT:</w:t>
      </w:r>
      <w:r>
        <w:rPr>
          <w:rFonts w:eastAsia="Arial Narrow" w:cs="Arial Narrow" w:ascii="Arial Narrow" w:hAnsi="Arial Narrow"/>
          <w:sz w:val="20"/>
          <w:szCs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 limited to the MAXDQ  as set forth above.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 xml:space="preserve">FIELD NAME/COUNTY/STATE: </w:t>
      </w:r>
      <w:r>
        <w:rPr>
          <w:rFonts w:eastAsia="Arial Narrow" w:cs="Arial Narrow" w:ascii="Arial Narrow" w:hAnsi="Arial Narrow"/>
          <w:sz w:val="20"/>
          <w:szCs w:val="20"/>
        </w:rPr>
        <w:t>Caballo /Campbell/WYOMING</w:t>
      </w:r>
    </w:p>
    <w:p>
      <w:pPr>
        <w:pStyle w:val="Normal"/>
        <w:widowControl/>
        <w:jc w:val="both"/>
        <w:rPr/>
      </w:pPr>
      <w:r>
        <w:rPr>
          <w:rFonts w:eastAsia="Arial Narrow" w:cs="Arial Narrow" w:ascii="Arial Narrow" w:hAnsi="Arial Narrow"/>
          <w:b/>
          <w:bCs/>
          <w:sz w:val="20"/>
          <w:szCs w:val="20"/>
        </w:rPr>
        <w:t xml:space="preserve">DELIVERY POINT(S):  </w:t>
      </w:r>
      <w:r>
        <w:rPr>
          <w:rFonts w:eastAsia="Arial Narrow" w:cs="Arial Narrow" w:ascii="Arial Narrow" w:hAnsi="Arial Narrow"/>
          <w:sz w:val="20"/>
          <w:szCs w:val="20"/>
        </w:rPr>
        <w:t xml:space="preserve">Meter no. 0814005 Wellstar Secrew #1 and  Meter no. 0814004 Wellstar Screw #2 </w:t>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May 1, 2001 through July 30, 2001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METTER NUMBERSCONTRACT PRICE:  </w:t>
      </w:r>
      <w:r>
        <w:rPr>
          <w:rFonts w:eastAsia="Arial Narrow" w:cs="Arial Narrow" w:ascii="Arial Narrow" w:hAnsi="Arial Narrow"/>
          <w:sz w:val="20"/>
          <w:szCs w:val="20"/>
        </w:rPr>
        <w:t>Per MMBtu, determined on a dry basis, for gas delivered hereunder each month, equal to the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Colorado Interstate Gas Co. – Rocky Mountains Index as published in the first publication of the month in </w:t>
      </w:r>
      <w:r>
        <w:rPr>
          <w:rFonts w:eastAsia="Arial Narrow" w:cs="Arial Narrow" w:ascii="Arial Narrow" w:hAnsi="Arial Narrow"/>
          <w:sz w:val="20"/>
          <w:szCs w:val="20"/>
          <w:u w:val="single"/>
        </w:rPr>
        <w:t>Inside F.E.R.C.'s Gas Market Report</w:t>
      </w:r>
      <w:r>
        <w:rPr>
          <w:rFonts w:eastAsia="Arial Narrow" w:cs="Arial Narrow" w:ascii="Arial Narrow" w:hAnsi="Arial Narrow"/>
          <w:sz w:val="20"/>
          <w:szCs w:val="20"/>
        </w:rPr>
        <w:t xml:space="preserve"> </w:t>
      </w:r>
      <w:bookmarkStart w:id="0" w:name="ferc"/>
      <w:r>
        <w:rPr>
          <w:rFonts w:eastAsia="Arial Narrow" w:cs="Arial Narrow" w:ascii="Arial Narrow" w:hAnsi="Arial Narrow"/>
          <w:sz w:val="20"/>
          <w:szCs w:val="20"/>
        </w:rPr>
        <w:t>LESS $</w:t>
      </w:r>
      <w:bookmarkEnd w:id="0"/>
      <w:r>
        <w:rPr>
          <w:rFonts w:eastAsia="Arial Narrow" w:cs="Arial Narrow" w:ascii="Arial Narrow" w:hAnsi="Arial Narrow"/>
          <w:sz w:val="20"/>
          <w:szCs w:val="20"/>
        </w:rPr>
        <w:t>0.70, together with any and all costs and expenses, including without  limitation, fuel and lost and unaccounted for, attributable to the compression, gathering, transporting and other post production operations necessary to transport the gas for delivery into the pipeline system of Wyoming Interstate Company, Colorado Interstate Gas Company, or KN Energy, Inc.  at Glenrock.</w:t>
      </w:r>
      <w:r>
        <w:rPr>
          <w:rFonts w:eastAsia="Arial Narrow" w:cs="Arial Narrow" w:ascii="Arial Narrow" w:hAnsi="Arial Narrow"/>
          <w:b/>
          <w:bCs/>
          <w:sz w:val="20"/>
          <w:szCs w:val="20"/>
        </w:rPr>
        <w:t xml:space="preserve"> </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RESERVES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WELLSTAR  CORPORATION</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w:t>
              <w:tab/>
            </w:r>
            <w:r>
              <w:rPr>
                <w:rFonts w:eastAsia="Arial Narrow" w:cs="Arial Narrow" w:ascii="Arial Narrow" w:hAnsi="Arial Narrow"/>
                <w:sz w:val="20"/>
                <w:szCs w:val="20"/>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20"/>
                <w:szCs w:val="20"/>
              </w:rPr>
              <w:t>By:</w:t>
            </w:r>
            <w:r>
              <w:rPr>
                <w:rFonts w:eastAsia="Arial Narrow" w:cs="Arial Narrow" w:ascii="Arial Narrow" w:hAnsi="Arial Narrow"/>
                <w:sz w:val="20"/>
                <w:szCs w:val="20"/>
                <w:u w:val="single"/>
              </w:rPr>
              <w:tab/>
            </w:r>
            <w:r>
              <w:rPr>
                <w:rFonts w:eastAsia="Arial Narrow" w:cs="Arial Narrow" w:ascii="Arial Narrow" w:hAnsi="Arial Narrow"/>
                <w:sz w:val="20"/>
                <w:szCs w:val="20"/>
              </w:rPr>
              <w:t>_______________________________________________</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r>
              <w:rPr>
                <w:rFonts w:eastAsia="Arial Narrow" w:cs="Arial Narrow" w:ascii="Arial Narrow" w:hAnsi="Arial Narrow"/>
                <w:sz w:val="20"/>
                <w:szCs w:val="20"/>
                <w:u w:val="single"/>
              </w:rPr>
              <w:t xml:space="preserve"> </w:t>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r>
              <w:rPr>
                <w:rFonts w:eastAsia="Arial Narrow" w:cs="Arial Narrow" w:ascii="Arial Narrow" w:hAnsi="Arial Narrow"/>
                <w:sz w:val="20"/>
                <w:szCs w:val="20"/>
                <w:u w:val="single"/>
              </w:rPr>
              <w:t xml:space="preserve"> </w:t>
              <w:tab/>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r>
              <w:rPr>
                <w:rFonts w:eastAsia="Arial Narrow" w:cs="Arial Narrow" w:ascii="Arial Narrow" w:hAnsi="Arial Narrow"/>
                <w:sz w:val="20"/>
                <w:szCs w:val="20"/>
                <w:u w:val="single"/>
              </w:rPr>
              <w:t xml:space="preserve"> </w:t>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r>
              <w:rPr>
                <w:rFonts w:eastAsia="Arial Narrow" w:cs="Arial Narrow" w:ascii="Arial Narrow" w:hAnsi="Arial Narrow"/>
                <w:sz w:val="20"/>
                <w:szCs w:val="20"/>
                <w:u w:val="single"/>
              </w:rPr>
              <w:t xml:space="preserve"> </w:t>
              <w:tab/>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sz w:val="16"/>
        <w:szCs w:val="16"/>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Normal"/>
      <w:widowControl/>
      <w:tabs>
        <w:tab w:val="clear" w:pos="720"/>
        <w:tab w:val="left" w:pos="4320" w:leader="none"/>
        <w:tab w:val="left" w:pos="8280" w:leader="none"/>
      </w:tabs>
      <w:rPr>
        <w:sz w:val="16"/>
        <w:szCs w:val="16"/>
      </w:rPr>
    </w:pPr>
    <w:r>
      <w:rPr>
        <w:sz w:val="16"/>
        <w:szCs w:val="16"/>
      </w:rPr>
    </w:r>
  </w:p>
  <w:p>
    <w:pPr>
      <w:pStyle w:val="Normal"/>
      <w:widowControl/>
      <w:tabs>
        <w:tab w:val="clear" w:pos="720"/>
        <w:tab w:val="left" w:pos="4320" w:leader="none"/>
        <w:tab w:val="left" w:pos="8280" w:leader="none"/>
      </w:tabs>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/mnt/main-storage/datasets/enron-docs/doc/Wellstar_Confirm1.doc</w:t>
    </w:r>
    <w:r>
      <w:rP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2001-05-18T20:06:00Z</dcterms:created>
  <dc:creator>ECT</dc:creator>
  <dc:description/>
  <dc:language>en-CA</dc:language>
  <cp:lastModifiedBy>dperlin</cp:lastModifiedBy>
  <cp:lastPrinted>2001-05-21T10:30:00Z</cp:lastPrinted>
  <dcterms:modified xsi:type="dcterms:W3CDTF">2001-05-21T13:05:00Z</dcterms:modified>
  <cp:revision>4</cp:revision>
  <dc:subject/>
  <dc:title>[ECT LETTERHEAD]</dc:title>
</cp:coreProperties>
</file>