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PREPARED DIRECT TESTIMONY</w:t>
      </w:r>
    </w:p>
    <w:p>
      <w:pPr>
        <w:pStyle w:val="Normal"/>
        <w:spacing w:lineRule="auto" w:line="360"/>
        <w:jc w:val="center"/>
        <w:rPr>
          <w:b/>
          <w:bCs/>
        </w:rPr>
      </w:pPr>
      <w:r>
        <w:rPr>
          <w:b/>
          <w:bCs/>
        </w:rPr>
        <w:t>ON BEHALF OF THE</w:t>
      </w:r>
    </w:p>
    <w:p>
      <w:pPr>
        <w:pStyle w:val="Normal"/>
        <w:spacing w:lineRule="auto" w:line="360"/>
        <w:jc w:val="center"/>
        <w:rPr>
          <w:b/>
          <w:bCs/>
        </w:rPr>
      </w:pPr>
      <w:r>
        <w:rPr>
          <w:b/>
          <w:bCs/>
        </w:rPr>
        <w:t>ALLIANCE FOR RETAIL MARKETS</w:t>
      </w:r>
    </w:p>
    <w:p>
      <w:pPr>
        <w:pStyle w:val="Normal"/>
        <w:spacing w:lineRule="auto" w:line="360"/>
        <w:jc w:val="center"/>
        <w:rPr>
          <w:b/>
          <w:bCs/>
        </w:rPr>
      </w:pPr>
      <w:r>
        <w:rPr>
          <w:b/>
          <w:bCs/>
        </w:rPr>
      </w:r>
    </w:p>
    <w:p>
      <w:pPr>
        <w:pStyle w:val="Normal"/>
        <w:spacing w:lineRule="auto" w:line="360"/>
        <w:jc w:val="center"/>
        <w:rPr>
          <w:b/>
          <w:bCs/>
        </w:rPr>
      </w:pPr>
      <w:r>
        <w:rPr>
          <w:b/>
          <w:bCs/>
        </w:rPr>
        <w:t>Witness: Andrea Weller</w:t>
      </w:r>
    </w:p>
    <w:p>
      <w:pPr>
        <w:pStyle w:val="Normal"/>
        <w:spacing w:lineRule="auto" w:line="360"/>
        <w:jc w:val="center"/>
        <w:rPr>
          <w:b/>
          <w:bCs/>
        </w:rPr>
      </w:pPr>
      <w:r>
        <w:rPr>
          <w:b/>
          <w:bCs/>
        </w:rPr>
        <w:t>Strategic Energy, L.L.C.</w:t>
      </w:r>
    </w:p>
    <w:p>
      <w:pPr>
        <w:pStyle w:val="Normal"/>
        <w:spacing w:lineRule="auto" w:line="360"/>
        <w:rPr/>
      </w:pPr>
      <w:r>
        <w:rPr/>
      </w:r>
    </w:p>
    <w:p>
      <w:pPr>
        <w:sectPr>
          <w:footerReference w:type="default" r:id="rId2"/>
          <w:footerReference w:type="first" r:id="rId3"/>
          <w:type w:val="nextPage"/>
          <w:pgSz w:w="12240" w:h="15840"/>
          <w:pgMar w:left="1728" w:right="1440" w:gutter="0" w:header="0" w:top="1440" w:footer="432" w:bottom="1440"/>
          <w:lnNumType w:countBy="1" w:restart="newPage" w:distance="283"/>
          <w:pgNumType w:fmt="decimal"/>
          <w:formProt w:val="false"/>
          <w:titlePg/>
          <w:textDirection w:val="lrTb"/>
        </w:sectPr>
      </w:pPr>
    </w:p>
    <w:p>
      <w:pPr>
        <w:pStyle w:val="QA"/>
        <w:widowControl/>
        <w:spacing w:lineRule="auto" w:line="480"/>
        <w:rPr/>
      </w:pPr>
      <w:r>
        <w:rPr/>
        <w:t>Q</w:t>
        <w:tab/>
        <w:t>Please state your name, position, and address.</w:t>
      </w:r>
    </w:p>
    <w:p>
      <w:pPr>
        <w:pStyle w:val="QA"/>
        <w:widowControl/>
        <w:spacing w:lineRule="auto" w:line="480"/>
        <w:rPr/>
      </w:pPr>
      <w:r>
        <w:rPr/>
        <w:t>A</w:t>
        <w:tab/>
        <w:t>Andrea Weller, Western Regional Market Strategist for Strategic Energy, 2452 Naples, Newport Beach, CA 92660.</w:t>
      </w:r>
    </w:p>
    <w:p>
      <w:pPr>
        <w:pStyle w:val="QA"/>
        <w:widowControl/>
        <w:spacing w:lineRule="auto" w:line="480"/>
        <w:rPr/>
      </w:pPr>
      <w:r>
        <w:rPr/>
        <w:tab/>
      </w:r>
    </w:p>
    <w:p>
      <w:pPr>
        <w:pStyle w:val="QA"/>
        <w:widowControl/>
        <w:spacing w:lineRule="auto" w:line="480"/>
        <w:rPr/>
      </w:pPr>
      <w:r>
        <w:rPr/>
        <w:t>Q</w:t>
        <w:tab/>
        <w:t>Please describe your professional background.</w:t>
      </w:r>
    </w:p>
    <w:p>
      <w:pPr>
        <w:pStyle w:val="QA"/>
        <w:widowControl/>
        <w:spacing w:lineRule="auto" w:line="480"/>
        <w:rPr>
          <w:b/>
          <w:bCs/>
        </w:rPr>
      </w:pPr>
      <w:r>
        <w:rPr/>
        <w:t>A</w:t>
        <w:tab/>
        <w:t>I have been extensively involved in the restructuring movements across the U.S.  Since the onset of restructuring in California, I have managed the relationships for various Energy Service Providers with the utilities, regulators, and legislators. My emphasis includes analyzing and developing creative strategies for success in a dynamic energy atmosphere.  My experience as the Director of Utility and Governmental Affairs for an Energy Service Provider serving customers in California and currently as the Western Regional Market Strategist for Strategic Energy has provided me with a detailed understanding of the components of a deregulated marketplace.  My work has included the development of creative solutions and strategies to assist market participants and customers to overcome the hurdles that come with a dynamic environment and maintain profitability. I am an active participant in the Alliance for Retail Energy Markets (“AReM”), and was elected as the National Energy Markets Policy Chair in the Western Region of the United States.</w:t>
      </w:r>
      <w:r>
        <w:rPr>
          <w:b/>
          <w:bCs/>
        </w:rPr>
        <w:t xml:space="preserve">  </w:t>
      </w:r>
      <w:r>
        <w:rPr/>
        <w:t xml:space="preserve">I have a Bachelor of Science in Business Administration with a degree in Marketing.  </w:t>
      </w:r>
    </w:p>
    <w:p>
      <w:pPr>
        <w:pStyle w:val="QA"/>
        <w:widowControl/>
        <w:spacing w:lineRule="auto" w:line="480"/>
        <w:rPr>
          <w:b/>
          <w:bCs/>
        </w:rPr>
      </w:pPr>
      <w:r>
        <w:rPr>
          <w:b/>
          <w:bCs/>
        </w:rPr>
      </w:r>
    </w:p>
    <w:p>
      <w:pPr>
        <w:pStyle w:val="QA"/>
        <w:widowControl/>
        <w:spacing w:lineRule="auto" w:line="480"/>
        <w:rPr/>
      </w:pPr>
      <w:r>
        <w:rPr/>
        <w:t xml:space="preserve">Q </w:t>
        <w:tab/>
        <w:t>What is the purpose of your testimony?</w:t>
      </w:r>
    </w:p>
    <w:p>
      <w:pPr>
        <w:pStyle w:val="QA"/>
        <w:widowControl/>
        <w:spacing w:lineRule="auto" w:line="480"/>
        <w:rPr/>
      </w:pPr>
      <w:r>
        <w:rPr/>
        <w:t>A</w:t>
        <w:tab/>
        <w:t xml:space="preserve">I am sponsoring testimony on behalf of AReM, which </w:t>
      </w:r>
      <w:r>
        <w:rPr>
          <w:spacing w:val="-3"/>
        </w:rPr>
        <w:t xml:space="preserve">is </w:t>
      </w:r>
      <w:r>
        <w:rPr/>
        <w:t>an alliance of energy service providers (“ESPs”) who actively participate in the California retail electric market.  My testimony addresses the inequity of applying procurement related rate increases to direct access customers.  Moreover, AReM urges the Commission to recognize that the problems which have been observed in the wholesale market were neither caused nor exacerbated by the retail direct access market.  To the contrary, retail competition has enabled many customers to avoid the pricing fluctuations in the wholesale market which have been so problematical.  In its efforts to remedy wholesale market issues and to respond to the utilities’ rate requests, the Commission should take great care not to damage or impede the development of a fully competitive retail market.</w:t>
      </w:r>
    </w:p>
    <w:p>
      <w:pPr>
        <w:pStyle w:val="QA"/>
        <w:widowControl/>
        <w:rPr/>
      </w:pPr>
      <w:r>
        <w:rPr/>
      </w:r>
    </w:p>
    <w:p>
      <w:pPr>
        <w:pStyle w:val="QA"/>
        <w:widowControl/>
        <w:spacing w:lineRule="auto" w:line="480"/>
        <w:rPr/>
      </w:pPr>
      <w:r>
        <w:rPr/>
        <w:t xml:space="preserve">Q  </w:t>
        <w:tab/>
        <w:t>Do you adopt the statement attached hereto, entitled “Recommendations of the Alliance for Retail Energy Markets with Regard to Retail Rate Design” as your filed testimony?</w:t>
      </w:r>
    </w:p>
    <w:p>
      <w:pPr>
        <w:pStyle w:val="Normal"/>
        <w:spacing w:lineRule="auto" w:line="480"/>
        <w:rPr/>
      </w:pPr>
      <w:r>
        <w:rPr/>
        <w:t xml:space="preserve">A </w:t>
        <w:tab/>
        <w:t>Yes, I do.</w:t>
      </w:r>
    </w:p>
    <w:p>
      <w:pPr>
        <w:pStyle w:val="Normal"/>
        <w:spacing w:lineRule="auto" w:line="480"/>
        <w:rPr/>
      </w:pPr>
      <w:r>
        <w:rPr/>
      </w:r>
    </w:p>
    <w:p>
      <w:pPr>
        <w:pStyle w:val="Normal"/>
        <w:spacing w:lineRule="auto" w:line="480"/>
        <w:rPr/>
      </w:pPr>
      <w:r>
        <w:rPr/>
        <w:t>Q</w:t>
        <w:tab/>
        <w:t>Does this conclude your testimony?</w:t>
      </w:r>
    </w:p>
    <w:p>
      <w:pPr>
        <w:pStyle w:val="Normal"/>
        <w:spacing w:lineRule="auto" w:line="480"/>
        <w:rPr/>
      </w:pPr>
      <w:r>
        <w:rPr/>
        <w:t>A</w:t>
        <w:tab/>
        <w:t>Yes.</w:t>
      </w:r>
    </w:p>
    <w:p>
      <w:pPr>
        <w:sectPr>
          <w:type w:val="continuous"/>
          <w:pgSz w:w="12240" w:h="15840"/>
          <w:pgMar w:left="1728" w:right="1440" w:gutter="0" w:header="0" w:top="1440" w:footer="432" w:bottom="1440"/>
          <w:lnNumType w:countBy="1" w:restart="newPage" w:distance="283"/>
          <w:formProt w:val="false"/>
          <w:titlePg/>
          <w:textDirection w:val="lrTb"/>
        </w:sectPr>
      </w:pPr>
    </w:p>
    <w:p>
      <w:pPr>
        <w:pStyle w:val="Normal"/>
        <w:spacing w:lineRule="auto" w:line="360"/>
        <w:jc w:val="center"/>
        <w:rPr>
          <w:b/>
          <w:bCs/>
        </w:rPr>
      </w:pPr>
      <w:r>
        <w:rPr>
          <w:b/>
          <w:bCs/>
        </w:rPr>
        <w:t>Recommendations of the Alliance for Retail Energy Markets</w:t>
      </w:r>
    </w:p>
    <w:p>
      <w:pPr>
        <w:pStyle w:val="Normal"/>
        <w:spacing w:lineRule="auto" w:line="360"/>
        <w:jc w:val="center"/>
        <w:rPr>
          <w:b/>
          <w:bCs/>
        </w:rPr>
      </w:pPr>
      <w:r>
        <w:rPr>
          <w:b/>
          <w:bCs/>
        </w:rPr>
        <w:t>with Regard to Retail Rate Design</w:t>
      </w:r>
    </w:p>
    <w:p>
      <w:pPr>
        <w:pStyle w:val="Normal"/>
        <w:spacing w:lineRule="auto" w:line="360"/>
        <w:jc w:val="center"/>
        <w:rPr>
          <w:b/>
          <w:bCs/>
        </w:rPr>
      </w:pPr>
      <w:r>
        <w:rPr>
          <w:b/>
          <w:bCs/>
        </w:rPr>
      </w:r>
    </w:p>
    <w:p>
      <w:pPr>
        <w:pStyle w:val="Normal"/>
        <w:spacing w:lineRule="auto" w:line="480"/>
        <w:ind w:firstLine="720" w:end="0"/>
        <w:jc w:val="both"/>
        <w:rPr/>
      </w:pPr>
      <w:r>
        <w:rPr/>
        <w:t>Pursuant to the April 11, 2001,</w:t>
      </w:r>
      <w:r>
        <w:rPr>
          <w:b/>
          <w:bCs/>
        </w:rPr>
        <w:t xml:space="preserve"> </w:t>
      </w:r>
      <w:r>
        <w:rPr/>
        <w:t>Assigned Commissioner’s Ruling Setting Rate Design Procedural Schedule And Providing Guidance On Billing System Structural Issues (“ACR”) issued by the Commission, parties were directed “to serve their rate design proposals as testimony on April 13.”  The Alliance for Retail Energy Markets (“AReM”)</w:t>
      </w:r>
      <w:r>
        <w:rPr>
          <w:rStyle w:val="FootnoteCharacters"/>
          <w:rStyle w:val="FootnoteReference"/>
        </w:rPr>
        <w:footnoteReference w:id="2"/>
      </w:r>
      <w:r>
        <w:rPr/>
        <w:t xml:space="preserve"> hereby submits its testimony with regard to certain rate design issues. The testimony of ARM focuses exclusively on the inequity of applying procurement related rate increases to direct access customers.  AReM’s comments are equally applicable to the proposals made by Governor Davis’ representatives at the workshop held on April 12 as well as the rate surcharge of three-cents per kilowatt-hour (“kWh”) authorized in Decision 01-03-082.  </w:t>
      </w:r>
    </w:p>
    <w:p>
      <w:pPr>
        <w:pStyle w:val="Normal"/>
        <w:spacing w:lineRule="auto" w:line="480"/>
        <w:ind w:firstLine="720" w:end="0"/>
        <w:jc w:val="both"/>
        <w:rPr/>
      </w:pPr>
      <w:r>
        <w:rPr/>
      </w:r>
    </w:p>
    <w:p>
      <w:pPr>
        <w:pStyle w:val="Normal"/>
        <w:numPr>
          <w:ilvl w:val="0"/>
          <w:numId w:val="2"/>
        </w:numPr>
        <w:tabs>
          <w:tab w:val="clear" w:pos="720"/>
          <w:tab w:val="left" w:pos="0" w:leader="none"/>
        </w:tabs>
        <w:ind w:hanging="720" w:start="1440" w:end="0"/>
        <w:jc w:val="both"/>
        <w:rPr/>
      </w:pPr>
      <w:r>
        <w:rPr>
          <w:b/>
          <w:bCs/>
          <w:u w:val="single"/>
        </w:rPr>
        <w:t>Any Procurement-Related Rate Increase Should Not be Applied to Direct Access Customers, As It Would Act as a Deterrent to Customers Taking Responsibility for Their Own Power Supplies</w:t>
      </w:r>
      <w:r>
        <w:rPr>
          <w:b/>
          <w:bCs/>
        </w:rPr>
        <w:t>.</w:t>
      </w:r>
    </w:p>
    <w:p>
      <w:pPr>
        <w:pStyle w:val="Normal"/>
        <w:ind w:start="720" w:end="0"/>
        <w:jc w:val="both"/>
        <w:rPr/>
      </w:pPr>
      <w:r>
        <w:rPr/>
      </w:r>
    </w:p>
    <w:p>
      <w:pPr>
        <w:pStyle w:val="standard"/>
        <w:widowControl/>
        <w:spacing w:lineRule="auto" w:line="48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t>Application of the increases to direct access customers will obstruct customers from taking retail electric service from an alternate provider.  If a customer must pay for both its own cost of procurement, as well as assist in paying for the procurement costs of bundled customers, they will in effect be forced to pay twice for energy procurement.  If authorized, this “double-dipping” would substantially undermine the ability of customers to take control of their own energy needs through supply arrangements with alternative energy providers.</w:t>
      </w:r>
    </w:p>
    <w:p>
      <w:pPr>
        <w:pStyle w:val="Normal"/>
        <w:spacing w:lineRule="auto" w:line="480"/>
        <w:ind w:firstLine="720" w:end="0"/>
        <w:jc w:val="both"/>
        <w:rPr/>
      </w:pPr>
      <w:r>
        <w:rPr/>
        <w:t xml:space="preserve">Numerous parties in this proceeding have indicated support for the concept that the proposed rate increases should not apply to direct access customers.  The California Retailers Association has asked the Commission to, “immediately address the issue and clarify that Direct Access customers will not bear any responsibility for recovery of forward-going costs that have given rise to imposition of the Commission’s recent surcharges.” </w:t>
      </w:r>
      <w:r>
        <w:rPr>
          <w:rStyle w:val="FootnoteCharacters"/>
          <w:rStyle w:val="FootnoteReference"/>
        </w:rPr>
        <w:footnoteReference w:id="3"/>
      </w:r>
    </w:p>
    <w:p>
      <w:pPr>
        <w:pStyle w:val="Normal"/>
        <w:spacing w:lineRule="auto" w:line="480"/>
        <w:ind w:firstLine="720" w:end="0"/>
        <w:jc w:val="both"/>
        <w:rPr/>
      </w:pPr>
      <w:r>
        <w:rPr/>
        <w:t xml:space="preserve">The Energy Producers and Users Coalition offered four fundamental principles to guide the Commission’s deliberations on implementing the 3 cent/kWh average rate increase.  The principles include the position that, “Third, the rate increase should be allocated only to utility service customers.  To the extent that the rate increase is intended to cover future energy purchases made by the utilities and the Department of Water Resources, it is properly and fairly allocated only to customers who benefit from such prospective purchases.” </w:t>
      </w:r>
      <w:r>
        <w:rPr>
          <w:rStyle w:val="FootnoteCharacters"/>
          <w:rStyle w:val="FootnoteReference"/>
        </w:rPr>
        <w:footnoteReference w:id="4"/>
      </w:r>
    </w:p>
    <w:p>
      <w:pPr>
        <w:pStyle w:val="Normal"/>
        <w:spacing w:lineRule="auto" w:line="480"/>
        <w:ind w:firstLine="720" w:end="0"/>
        <w:jc w:val="both"/>
        <w:rPr/>
      </w:pPr>
      <w:r>
        <w:rPr/>
        <w:t xml:space="preserve">The California Manufacturers and Technology Association provided a clear statement of the principle that procurement-related rate increases should not apply to those customers who are </w:t>
      </w:r>
      <w:r>
        <w:rPr>
          <w:u w:val="single"/>
        </w:rPr>
        <w:t>not</w:t>
      </w:r>
      <w:r>
        <w:rPr/>
        <w:t xml:space="preserve"> provided procurement services by their utility:</w:t>
      </w:r>
    </w:p>
    <w:p>
      <w:pPr>
        <w:pStyle w:val="Normal"/>
        <w:ind w:start="1440" w:end="1440"/>
        <w:jc w:val="both"/>
        <w:rPr/>
      </w:pPr>
      <w:r>
        <w:rPr/>
        <w:t xml:space="preserve">The current rate increase of 3 cents/kWh, as well as the 1 cent increase approved in January are intended to recover going-forward costs associated with DWR purchases of energy.  Accordingly, CMTA’s fourth rate design principle is that </w:t>
      </w:r>
      <w:r>
        <w:rPr>
          <w:b/>
          <w:bCs/>
        </w:rPr>
        <w:t>these energy costs should not be allocated to customers who are currently direct access customers.</w:t>
      </w:r>
      <w:r>
        <w:rPr/>
        <w:t xml:space="preserve">  Direct access customers already are responsible for energy costs associated with purchases from their ESP.  There is no reason they should be burdened with energy costs associated with utility bundled service. </w:t>
      </w:r>
      <w:r>
        <w:rPr>
          <w:rStyle w:val="FootnoteCharacters"/>
          <w:rStyle w:val="FootnoteReference"/>
        </w:rPr>
        <w:footnoteReference w:id="5"/>
      </w:r>
      <w:r>
        <w:rPr/>
        <w:t xml:space="preserve">  [Emphasis in original]</w:t>
      </w:r>
    </w:p>
    <w:p>
      <w:pPr>
        <w:pStyle w:val="Normal"/>
        <w:ind w:start="1440" w:end="1440"/>
        <w:jc w:val="both"/>
        <w:rPr/>
      </w:pPr>
      <w:r>
        <w:rPr/>
      </w:r>
    </w:p>
    <w:p>
      <w:pPr>
        <w:pStyle w:val="Normal"/>
        <w:spacing w:lineRule="auto" w:line="480"/>
        <w:ind w:firstLine="720" w:end="0"/>
        <w:jc w:val="both"/>
        <w:rPr/>
      </w:pPr>
      <w:r>
        <w:rPr/>
        <w:t xml:space="preserve">And finally, it should also be noted that the recent filing by PG&amp;E with regard to its billing system capabilities also agrees with the conclusion that rate increases related to procurement costs should not be allocated to direct access customers.  PG&amp;E states that if direct access customers do not contribute to an undercollection of costs, and assuming that, “both the 1 cent/kWh and the 3 cent/kWh average rate increase are intended to pay only current commodity costs, these surcharges would be avoided by direct access customers.” </w:t>
      </w:r>
      <w:r>
        <w:rPr>
          <w:rStyle w:val="FootnoteCharacters"/>
          <w:rStyle w:val="FootnoteReference"/>
        </w:rPr>
        <w:footnoteReference w:id="6"/>
      </w:r>
    </w:p>
    <w:p>
      <w:pPr>
        <w:pStyle w:val="standard"/>
        <w:widowControl/>
        <w:spacing w:lineRule="auto" w:line="480"/>
        <w:jc w:val="both"/>
        <w:rPr/>
      </w:pPr>
      <w:r>
        <w:rPr>
          <w:rFonts w:eastAsia="Times New Roman" w:cs="Times New Roman" w:ascii="Times New Roman" w:hAnsi="Times New Roman"/>
          <w:b w:val="false"/>
          <w:bCs w:val="false"/>
          <w:sz w:val="24"/>
          <w:szCs w:val="24"/>
        </w:rPr>
        <w:t xml:space="preserve">AReM notes simply that each of these parties has reached the correct conclusion.  The cause of the past and pending rate increases is the increase in wholesale prices.  Customers who procure power through direct access should </w:t>
      </w:r>
      <w:r>
        <w:rPr>
          <w:rFonts w:eastAsia="Times New Roman" w:cs="Times New Roman" w:ascii="Times New Roman" w:hAnsi="Times New Roman"/>
          <w:b w:val="false"/>
          <w:bCs w:val="false"/>
          <w:sz w:val="24"/>
          <w:szCs w:val="24"/>
          <w:u w:val="single"/>
        </w:rPr>
        <w:t>not</w:t>
      </w:r>
      <w:r>
        <w:rPr>
          <w:rFonts w:eastAsia="Times New Roman" w:cs="Times New Roman" w:ascii="Times New Roman" w:hAnsi="Times New Roman"/>
          <w:b w:val="false"/>
          <w:bCs w:val="false"/>
          <w:sz w:val="24"/>
          <w:szCs w:val="24"/>
        </w:rPr>
        <w:t xml:space="preserve"> be required to pay for rate increases designed to pay for increased costs incurred by bundled customers.</w:t>
      </w:r>
    </w:p>
    <w:p>
      <w:pPr>
        <w:pStyle w:val="BodyTextIndent"/>
        <w:spacing w:lineRule="auto" w:line="480" w:before="0" w:after="0"/>
        <w:ind w:firstLine="720" w:start="0" w:end="0"/>
        <w:jc w:val="both"/>
        <w:rPr/>
      </w:pPr>
      <w:r>
        <w:rPr/>
        <w:t>Only one party,  the Coalition of California Utility Employees (“CUE”), has made a contrary proposal with respect to the applicability of the rate surcharge to direct access customers.  CUE proposes that the rate surcharge should be applied equally to bundled sales customers and direct access customers.  AReM strongly disagrees.</w:t>
      </w:r>
    </w:p>
    <w:p>
      <w:pPr>
        <w:pStyle w:val="BodyTextIndent"/>
        <w:spacing w:lineRule="auto" w:line="480" w:before="0" w:after="0"/>
        <w:ind w:firstLine="720" w:start="0" w:end="0"/>
        <w:jc w:val="both"/>
        <w:rPr/>
      </w:pPr>
      <w:r>
        <w:rPr/>
        <w:t xml:space="preserve">CUE suggests first that, “In D.01-03-082, the Commission did </w:t>
      </w:r>
      <w:r>
        <w:rPr>
          <w:i/>
          <w:iCs/>
        </w:rPr>
        <w:t>not</w:t>
      </w:r>
      <w:r>
        <w:rPr/>
        <w:t xml:space="preserve"> exempt direct access customers from the three-cent per kilowatt-hour surcharge adopted in that decision.” </w:t>
      </w:r>
      <w:r>
        <w:rPr>
          <w:rStyle w:val="FootnoteCharacters"/>
          <w:rStyle w:val="FootnoteReference"/>
        </w:rPr>
        <w:footnoteReference w:id="7"/>
      </w:r>
      <w:r>
        <w:rPr/>
        <w:t xml:space="preserve">  However,  in the over sixty pages of D.01-03-082, the phrase “direct access” never occurs.  The decision neither exempts, nor applies, the three-cent surcharge to direct access customers.  </w:t>
      </w:r>
    </w:p>
    <w:p>
      <w:pPr>
        <w:pStyle w:val="BodyTextIndent"/>
        <w:spacing w:lineRule="auto" w:line="480" w:before="0" w:after="0"/>
        <w:ind w:firstLine="720" w:start="0" w:end="0"/>
        <w:jc w:val="both"/>
        <w:rPr/>
      </w:pPr>
      <w:r>
        <w:rPr/>
        <w:t>CUE next suggests that, “the Commission risks reducing the effectiveness of conservation incentives from rate design, increasing electric hucksterism and consumer fraud, and reducing the availability of low-cost power to the state and utilities.”  AReM replies to these faulty contentions as follows:</w:t>
      </w:r>
    </w:p>
    <w:p>
      <w:pPr>
        <w:pStyle w:val="BodyTextIndent"/>
        <w:spacing w:lineRule="auto" w:line="480" w:before="0" w:after="0"/>
        <w:ind w:firstLine="720" w:start="0" w:end="0"/>
        <w:jc w:val="both"/>
        <w:rPr/>
      </w:pPr>
      <w:r>
        <w:rPr/>
        <w:t xml:space="preserve">First, it is wrong to suggest that direct access customers will have no incentive to conserve.  As CUE notes, direct access participants, “tend to be large customers for whom small changes in consumption can produce substantial system benefits.” </w:t>
      </w:r>
      <w:r>
        <w:rPr>
          <w:rStyle w:val="FootnoteCharacters"/>
          <w:rStyle w:val="FootnoteReference"/>
        </w:rPr>
        <w:footnoteReference w:id="8"/>
      </w:r>
      <w:r>
        <w:rPr/>
        <w:t xml:space="preserve">  The relatively larger size of direct access customers is precisely the reason why conservation is so important to them.  The suggestion that these customers do not care about reducing their demand, when small percentage decreases in consumption can result in thousands of dollars in energy cost savings is simply mind-boggling and unsupported.  Once again, reality is to the contrary.</w:t>
      </w:r>
    </w:p>
    <w:p>
      <w:pPr>
        <w:pStyle w:val="BodyTextIndent"/>
        <w:spacing w:lineRule="auto" w:line="480" w:before="0" w:after="0"/>
        <w:ind w:firstLine="720" w:start="0" w:end="0"/>
        <w:jc w:val="both"/>
        <w:rPr/>
      </w:pPr>
      <w:r>
        <w:rPr/>
        <w:t>As part of their hedging strategies for customers, retailers wish to see peak demand mitigated, so that the customer is not exposed to prices on the spot market.  The customer benefits associated with avoiding spot market prices provides a clear incentive for retailers to offer effective demand responsiveness products, contrary to CUE’s baseless assertions.  Governor Davis has it right: “If companies want to get off the grid, we should encourage, not discourage that.”</w:t>
      </w:r>
    </w:p>
    <w:p>
      <w:pPr>
        <w:pStyle w:val="BodyTextIndent"/>
        <w:spacing w:lineRule="auto" w:line="480" w:before="0" w:after="0"/>
        <w:ind w:firstLine="720" w:start="0" w:end="0"/>
        <w:jc w:val="both"/>
        <w:rPr/>
      </w:pPr>
      <w:r>
        <w:rPr/>
        <w:t xml:space="preserve">Second, although CUE warns of what it perceives to be an alarming increase in “electric hucksterism,” (CUE refers to “unscrupulous providers” and “untrustworthy bad actors.”) </w:t>
      </w:r>
      <w:r>
        <w:rPr>
          <w:rStyle w:val="FootnoteCharacters"/>
          <w:rStyle w:val="FootnoteReference"/>
        </w:rPr>
        <w:footnoteReference w:id="9"/>
      </w:r>
      <w:r>
        <w:rPr/>
        <w:t xml:space="preserve">  CUE fails to provide any examples or cite any such instances.  The marketers that are members of AReM are responsible participants in the direct access market.  Rather than being a part of the problem, ESPs are and can be a part of the solution.</w:t>
      </w:r>
    </w:p>
    <w:p>
      <w:pPr>
        <w:pStyle w:val="BodyTextIndent"/>
        <w:spacing w:lineRule="auto" w:line="480" w:before="0" w:after="0"/>
        <w:ind w:firstLine="720" w:start="0" w:end="0"/>
        <w:jc w:val="both"/>
        <w:rPr/>
      </w:pPr>
      <w:r>
        <w:rPr/>
        <w:t xml:space="preserve">Finally, CUE suggests that exempting direct access customers from a procurement-related surcharge will reduce the availability of low-cost power to the State.  CUE asserts that direct access, “only increases the amount of power that the Department of Water Resources or the utilities will have to buy on the spot market.”  This is fundamentally incorrect.  First, as noted above, having more customers elect direct access will </w:t>
      </w:r>
      <w:r>
        <w:rPr>
          <w:u w:val="single"/>
        </w:rPr>
        <w:t>reduce</w:t>
      </w:r>
      <w:r>
        <w:rPr/>
        <w:t xml:space="preserve"> the power purchase requirements of DWR and the utilities.  Second, it is inaccurate to assume that all direct access customers are served solely by long-term contracts.  Third, CUE’s assumption that reliance on the spot market will always result in higher costs is also inaccurate, unless CUE asserts that power prices will continually rise ad infinitum.</w:t>
      </w:r>
    </w:p>
    <w:p>
      <w:pPr>
        <w:pStyle w:val="BodyTextIndent"/>
        <w:spacing w:lineRule="auto" w:line="480" w:before="0" w:after="0"/>
        <w:ind w:firstLine="720" w:start="0" w:end="0"/>
        <w:jc w:val="both"/>
        <w:rPr/>
      </w:pPr>
      <w:r>
        <w:rPr/>
        <w:t xml:space="preserve">The reality is that the very reason why ABX1 contained the provision that direct access should be suspended was the concern by the State Finance Department and DWR that its long-term contracts would be far </w:t>
      </w:r>
      <w:r>
        <w:rPr>
          <w:u w:val="single"/>
        </w:rPr>
        <w:t>above</w:t>
      </w:r>
      <w:r>
        <w:rPr/>
        <w:t xml:space="preserve"> short-term, spot market prices in a few years, after more generation comes online.  A review of the material distributed by the Governor’s Office at the April 12 workshop also shows clearly a belief that adding more generation will result in lower prices.  Therefore, CUE’s conclusion that customers who rely to a greater extent on the spot market will necessarily have higher costs is both short-sighted and, once again, not in touch with reality.</w:t>
      </w:r>
    </w:p>
    <w:p>
      <w:pPr>
        <w:pStyle w:val="Normal"/>
        <w:spacing w:lineRule="auto" w:line="480"/>
        <w:ind w:firstLine="720" w:end="0"/>
        <w:jc w:val="both"/>
        <w:rPr/>
      </w:pPr>
      <w:r>
        <w:rPr/>
      </w:r>
      <w:r>
        <w:br w:type="page"/>
      </w:r>
    </w:p>
    <w:p>
      <w:pPr>
        <w:pStyle w:val="Normal"/>
        <w:spacing w:lineRule="auto" w:line="480"/>
        <w:ind w:firstLine="720" w:end="0"/>
        <w:jc w:val="both"/>
        <w:rPr/>
      </w:pPr>
      <w:r>
        <w:rPr>
          <w:b/>
          <w:bCs/>
        </w:rPr>
        <w:t xml:space="preserve">B.  </w:t>
      </w:r>
      <w:r>
        <w:rPr>
          <w:b/>
          <w:bCs/>
          <w:u w:val="single"/>
        </w:rPr>
        <w:t>The Comments of Governor Davis Support the Position of AReM</w:t>
      </w:r>
    </w:p>
    <w:p>
      <w:pPr>
        <w:pStyle w:val="Normal"/>
        <w:spacing w:lineRule="auto" w:line="480"/>
        <w:ind w:firstLine="720" w:end="0"/>
        <w:jc w:val="both"/>
        <w:rPr/>
      </w:pPr>
      <w:r>
        <w:rPr/>
        <w:t>The April 4, 2001, website of the Sacramento Bee reported on various comments made by Governor Davis with regard to the current electricity situation:</w:t>
      </w:r>
    </w:p>
    <w:p>
      <w:pPr>
        <w:pStyle w:val="Normal"/>
        <w:ind w:start="1440" w:end="1530"/>
        <w:jc w:val="both"/>
        <w:rPr/>
      </w:pPr>
      <w:r>
        <w:rPr/>
        <w:t xml:space="preserve">For the first time, Davis also said the state should let companies buy their power from generators instead of going through the utilities. </w:t>
        <w:br/>
        <w:br/>
        <w:t xml:space="preserve">A January law that allowed the state to begin buying power for two nearly bankrupt utilities barred such side contracts. </w:t>
      </w:r>
    </w:p>
    <w:p>
      <w:pPr>
        <w:pStyle w:val="Normal"/>
        <w:ind w:start="1440" w:end="1530"/>
        <w:jc w:val="both"/>
        <w:rPr/>
      </w:pPr>
      <w:r>
        <w:rPr/>
      </w:r>
    </w:p>
    <w:p>
      <w:pPr>
        <w:pStyle w:val="Normal"/>
        <w:ind w:start="1440" w:end="1530"/>
        <w:jc w:val="both"/>
        <w:rPr/>
      </w:pPr>
      <w:r>
        <w:rPr/>
        <w:t>“</w:t>
      </w:r>
      <w:r>
        <w:rPr/>
        <w:t>That was done originally with the thought the state would have more power and no one to sell it to if companies got off the grid,” Davis said. “But our problem is the opposite this summer. If  companies want to get off the grid, we should encourage, not discourage that.”</w:t>
      </w:r>
    </w:p>
    <w:p>
      <w:pPr>
        <w:pStyle w:val="Normal"/>
        <w:ind w:firstLine="720" w:end="0"/>
        <w:rPr/>
      </w:pPr>
      <w:r>
        <w:rPr/>
      </w:r>
    </w:p>
    <w:p>
      <w:pPr>
        <w:pStyle w:val="Normal"/>
        <w:spacing w:lineRule="auto" w:line="480"/>
        <w:ind w:firstLine="720" w:end="0"/>
        <w:jc w:val="both"/>
        <w:rPr/>
      </w:pPr>
      <w:r>
        <w:rPr/>
        <w:t xml:space="preserve">AReM fully agrees with Governor Davis’ statement in this regard.  This coming summer we face a situation where power supply is constrained and the State Department of Water Resources (“DWR”) will not supply the utilities’ entire net-short position.  As a result, it makes abundant good sense for the utilities’ purchase requirements to be reduced as much as possible.  Encouraging customers to opt for direct access accomplishes that goal.  </w:t>
      </w:r>
    </w:p>
    <w:p>
      <w:pPr>
        <w:pStyle w:val="Normal"/>
        <w:spacing w:lineRule="auto" w:line="480"/>
        <w:ind w:firstLine="720" w:end="0"/>
        <w:jc w:val="both"/>
        <w:rPr/>
      </w:pPr>
      <w:r>
        <w:rPr/>
        <w:t xml:space="preserve">As Governor Davis notes, customers need to be encouraged to switch to direct access.  This will reduce the purchase requirements of DWR.  It will reduce the purchase requirements of the utilities.  Such a step will provide both taxpayers and ratepayers with significant savings.  AReM therefore recommends that the Commission foster a vibrant retail market as a fundamental method for reducing the procurement burden of both the utilities and DWR. </w:t>
      </w:r>
    </w:p>
    <w:p>
      <w:pPr>
        <w:pStyle w:val="Normal"/>
        <w:spacing w:lineRule="auto" w:line="480"/>
        <w:ind w:firstLine="720" w:end="0"/>
        <w:jc w:val="both"/>
        <w:rPr/>
      </w:pPr>
      <w:r>
        <w:rPr/>
        <w:t>The State faces the dismal prospect of severe supply shortages this summer.  The combination of the utilities’ retained generation and the DWR’s purchases to date are unable to fully satisfy the utilities’ combined net-short positions.  Given this scenario, it is incumbent upon this Commission and the State itself to reduce the supply procurement burden for the utilities and DWR.  Removing barriers to direct access is a positive step which will assist the situation.</w:t>
      </w:r>
    </w:p>
    <w:p>
      <w:pPr>
        <w:pStyle w:val="standard"/>
        <w:widowControl/>
        <w:spacing w:lineRule="auto"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tandard"/>
        <w:widowControl/>
        <w:spacing w:lineRule="auto" w:line="48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sz w:val="24"/>
          <w:szCs w:val="24"/>
        </w:rPr>
        <w:t xml:space="preserve">C.  </w:t>
      </w:r>
      <w:r>
        <w:rPr>
          <w:rFonts w:eastAsia="Times New Roman" w:cs="Times New Roman" w:ascii="Times New Roman" w:hAnsi="Times New Roman"/>
          <w:sz w:val="24"/>
          <w:szCs w:val="24"/>
          <w:u w:val="single"/>
        </w:rPr>
        <w:t>Conclusion and Recommendations</w:t>
      </w:r>
      <w:r>
        <w:rPr>
          <w:rFonts w:eastAsia="Times New Roman" w:cs="Times New Roman" w:ascii="Times New Roman" w:hAnsi="Times New Roman"/>
          <w:sz w:val="24"/>
          <w:szCs w:val="24"/>
        </w:rPr>
        <w:t>.</w:t>
      </w:r>
    </w:p>
    <w:p>
      <w:pPr>
        <w:pStyle w:val="standard"/>
        <w:widowControl/>
        <w:spacing w:lineRule="auto" w:line="48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t xml:space="preserve">Governor Davis has clearly stated that, “If  companies want to get off the grid, we should encourage, not discourage that.”  AReM agrees with this clear statement of principle.  Moreover, the Commission should actively encourage customers to opt for direct access.  When customers leave bundled service, there is a corresponding reduction in the amount of supplies which need to be procured by the state’s utilities and DWR.  This is a worthwhile and valuable result that should not be thwarted by double charging direct access customers for the supply costs of servicing bundled service customers.  </w:t>
      </w:r>
    </w:p>
    <w:p>
      <w:pPr>
        <w:pStyle w:val="standard"/>
        <w:widowControl/>
        <w:spacing w:lineRule="auto" w:line="48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t xml:space="preserve">AReM proposes, therefore, that the Commission-approved rate increases should be reflected exclusively in the generation-related component of rates, and that the rate surcharge should not apply to direct access customers.  As noted above, numerous parties in this proceeding have indicated support for these concepts.  It is inappropriate and unfair for customers who do not receive procurement service from the utility to have to pay procurement charges or the surcharges that are attributable to procurement activities.  Any suggestion to the contrary is unfair and inequitable.   </w:t>
      </w:r>
    </w:p>
    <w:p>
      <w:pPr>
        <w:sectPr>
          <w:footerReference w:type="default" r:id="rId4"/>
          <w:footnotePr>
            <w:numFmt w:val="decimal"/>
          </w:footnotePr>
          <w:type w:val="nextPage"/>
          <w:pgSz w:w="12240" w:h="15840"/>
          <w:pgMar w:left="1440" w:right="1440" w:gutter="0" w:header="0" w:top="1584" w:footer="432" w:bottom="1584"/>
          <w:lnNumType w:countBy="1" w:restart="newPage" w:distance="283"/>
          <w:pgNumType w:start="1" w:fmt="decimal"/>
          <w:formProt w:val="false"/>
          <w:textDirection w:val="lrTb"/>
        </w:sectPr>
        <w:pStyle w:val="LFBodyTextAltds"/>
        <w:widowControl/>
        <w:rPr>
          <w:b w:val="false"/>
          <w:bCs w:val="false"/>
        </w:rPr>
      </w:pPr>
      <w:r>
        <w:rPr>
          <w:b w:val="false"/>
          <w:bCs w:val="false"/>
        </w:rPr>
        <w:tab/>
        <w:t>In conclusion, AReM thanks the Commission for its consideration of its testimony and urges the Commission to do everything possible to encourage customers to take control of their energy destiny through self contracting for their retail electric supply needs..</w:t>
      </w:r>
    </w:p>
    <w:p>
      <w:pPr>
        <w:pStyle w:val="Normal"/>
        <w:tabs>
          <w:tab w:val="clear" w:pos="720"/>
          <w:tab w:val="left" w:pos="-1440" w:leader="none"/>
          <w:tab w:val="left" w:pos="-720" w:leader="none"/>
        </w:tabs>
        <w:jc w:val="center"/>
        <w:rPr>
          <w:b/>
          <w:bCs/>
        </w:rPr>
      </w:pPr>
      <w:r>
        <w:rPr>
          <w:b/>
          <w:bCs/>
        </w:rPr>
        <w:t>CERTIFICATE OF SERVICE</w:t>
      </w:r>
    </w:p>
    <w:p>
      <w:pPr>
        <w:pStyle w:val="Normal"/>
        <w:tabs>
          <w:tab w:val="clear" w:pos="720"/>
          <w:tab w:val="left" w:pos="-1440" w:leader="none"/>
          <w:tab w:val="left" w:pos="-720" w:leader="none"/>
        </w:tabs>
        <w:jc w:val="both"/>
        <w:rPr/>
      </w:pPr>
      <w:r>
        <w:rPr/>
      </w:r>
    </w:p>
    <w:p>
      <w:pPr>
        <w:pStyle w:val="Normal"/>
        <w:jc w:val="both"/>
        <w:rPr/>
      </w:pPr>
      <w:r>
        <w:rPr/>
        <w:tab/>
        <w:t>I hereby certify that I have this day served a copy of the Prepared Direct Testimony of the Alliance for Retail Energy Markets electronically on all parties of record in the above captioned proceedings for whom an electronic email address has been provided and by mailing a properly addressed copy by first-class mail with postage prepaid to each party for whom an email address is not provided.</w:t>
      </w:r>
    </w:p>
    <w:p>
      <w:pPr>
        <w:pStyle w:val="Normal"/>
        <w:suppressAutoHyphens w:val="true"/>
        <w:ind w:firstLine="720" w:end="0"/>
        <w:jc w:val="both"/>
        <w:rPr/>
      </w:pPr>
      <w:r>
        <w:rPr/>
      </w:r>
    </w:p>
    <w:p>
      <w:pPr>
        <w:pStyle w:val="Normal"/>
        <w:suppressAutoHyphens w:val="true"/>
        <w:ind w:firstLine="720" w:end="0"/>
        <w:jc w:val="both"/>
        <w:rPr/>
      </w:pPr>
      <w:r>
        <w:rPr/>
        <w:t>Executed on April 13, 2001, at Los Angeles, California.</w:t>
      </w:r>
    </w:p>
    <w:p>
      <w:pPr>
        <w:pStyle w:val="Normal"/>
        <w:suppressAutoHyphens w:val="true"/>
        <w:ind w:firstLine="720" w:end="0"/>
        <w:jc w:val="both"/>
        <w:rPr/>
      </w:pPr>
      <w:r>
        <w:rPr/>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LFBodyTextAltds"/>
        <w:widowControl/>
        <w:rPr/>
      </w:pPr>
      <w:r>
        <w:rPr/>
      </w:r>
    </w:p>
    <w:sectPr>
      <w:footerReference w:type="default" r:id="rId5"/>
      <w:footerReference w:type="first" r:id="rId6"/>
      <w:footnotePr>
        <w:numFmt w:val="decimal"/>
      </w:footnotePr>
      <w:type w:val="nextPage"/>
      <w:pgSz w:w="12240" w:h="15840"/>
      <w:pgMar w:left="1440" w:right="1440" w:gutter="0" w:header="0" w:top="1440" w:footer="0" w:bottom="1440"/>
      <w:lnNumType w:countBy="1" w:restart="newPage" w:distance="283"/>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PALATINO">
    <w:altName w:val="Book Antiqua"/>
    <w:charset w:val="01"/>
    <w:family w:val="roman"/>
    <w:pitch w:val="default"/>
  </w:font>
  <w:font w:name="Book Antiqu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
      </w:rPr>
    </w:pPr>
    <w:r>
      <w:rPr>
        <w:sz w:val="2"/>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7165"/>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tc>
      <w:tc>
        <w:tcPr>
          <w:tcW w:w="1987" w:type="dxa"/>
          <w:tcBorders/>
        </w:tcPr>
        <w:p>
          <w:pPr>
            <w:pStyle w:val="Normal"/>
            <w:jc w:val="center"/>
            <w:rPr/>
          </w:pPr>
          <w:r>
            <w:rPr>
              <w:rStyle w:val="PageNumber"/>
            </w:rPr>
            <w:t>.</w:t>
          </w:r>
        </w:p>
      </w:tc>
      <w:tc>
        <w:tcPr>
          <w:tcW w:w="3690" w:type="dxa"/>
          <w:tcBorders/>
        </w:tcPr>
        <w:p>
          <w:pPr>
            <w:pStyle w:val="Normal"/>
            <w:snapToGrid w:val="false"/>
            <w:jc w:val="end"/>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sz w:val="20"/>
          <w:szCs w:val="20"/>
        </w:rPr>
        <w:t xml:space="preserve"> </w:t>
      </w:r>
      <w:r>
        <w:rPr>
          <w:sz w:val="20"/>
          <w:szCs w:val="20"/>
        </w:rPr>
        <w:t>The members of AReM serve most of the 150,000 California customers who have chosen a competitive electric provider.  AReM’s members include AES NewEnergy, Inc.; Commonwealth Energy Corp.; Enron Energy Services, Inc.; Green Mountain Energy Company; The New Power Company; Shell Energy Services; and Strategic Energy, L.L.C.</w:t>
      </w:r>
    </w:p>
  </w:footnote>
  <w:footnote w:id="3">
    <w:p>
      <w:pPr>
        <w:pStyle w:val="FootnoteText"/>
        <w:rPr/>
      </w:pPr>
      <w:r>
        <w:rPr>
          <w:rStyle w:val="FootnoteCharacters"/>
        </w:rPr>
        <w:footnoteRef/>
      </w:r>
      <w:r>
        <w:rPr/>
        <w:t xml:space="preserve"> </w:t>
      </w:r>
      <w:r>
        <w:rPr>
          <w:sz w:val="20"/>
          <w:szCs w:val="20"/>
        </w:rPr>
        <w:t>April 6, 2001, Comments of the California Retailers Association on Rate Design Goals at page 5.</w:t>
      </w:r>
    </w:p>
  </w:footnote>
  <w:footnote w:id="4">
    <w:p>
      <w:pPr>
        <w:pStyle w:val="Normal"/>
        <w:jc w:val="both"/>
        <w:rPr/>
      </w:pPr>
      <w:r>
        <w:rPr>
          <w:rStyle w:val="FootnoteCharacters"/>
        </w:rPr>
        <w:footnoteRef/>
      </w:r>
      <w:r>
        <w:rPr/>
        <w:tab/>
      </w:r>
      <w:r>
        <w:rPr>
          <w:rStyle w:val="FootnoteCharacters"/>
        </w:rPr>
        <w:t>?</w:t>
      </w:r>
      <w:r>
        <w:rPr/>
        <w:t xml:space="preserve"> </w:t>
      </w:r>
      <w:r>
        <w:rPr>
          <w:sz w:val="20"/>
          <w:szCs w:val="20"/>
        </w:rPr>
        <w:t>April 6, 2001, Comments of the Energy Producers and Users Coalition on Tiered Rate Design Principles and Expedited Schedule at page 2.</w:t>
      </w:r>
    </w:p>
  </w:footnote>
  <w:footnote w:id="5">
    <w:p>
      <w:pPr>
        <w:pStyle w:val="Normal"/>
        <w:jc w:val="both"/>
        <w:rPr/>
      </w:pPr>
      <w:r>
        <w:rPr>
          <w:rStyle w:val="FootnoteCharacters"/>
        </w:rPr>
        <w:footnoteRef/>
      </w:r>
      <w:r>
        <w:rPr/>
        <w:tab/>
      </w:r>
      <w:r>
        <w:rPr>
          <w:rStyle w:val="FootnoteCharacters"/>
        </w:rPr>
        <w:t>?</w:t>
      </w:r>
      <w:r>
        <w:rPr/>
        <w:t xml:space="preserve"> </w:t>
      </w:r>
      <w:r>
        <w:rPr>
          <w:sz w:val="20"/>
          <w:szCs w:val="20"/>
        </w:rPr>
        <w:t>April 9, 2001,</w:t>
      </w:r>
      <w:r>
        <w:rPr/>
        <w:t xml:space="preserve"> </w:t>
      </w:r>
      <w:r>
        <w:rPr>
          <w:sz w:val="20"/>
          <w:szCs w:val="20"/>
        </w:rPr>
        <w:t>Comments of the California Manufacturers &amp; Technology Association on Rate Design Principles and Scheduling Issues at page 3.</w:t>
      </w:r>
    </w:p>
  </w:footnote>
  <w:footnote w:id="6">
    <w:p>
      <w:pPr>
        <w:pStyle w:val="FootnoteText"/>
        <w:jc w:val="both"/>
        <w:rPr/>
      </w:pPr>
      <w:r>
        <w:rPr>
          <w:rStyle w:val="FootnoteCharacters"/>
        </w:rPr>
        <w:footnoteRef/>
      </w:r>
      <w:r>
        <w:rPr/>
        <w:t xml:space="preserve"> </w:t>
      </w:r>
      <w:r>
        <w:rPr>
          <w:sz w:val="20"/>
          <w:szCs w:val="20"/>
        </w:rPr>
        <w:t>April 9, 2001,</w:t>
      </w:r>
      <w:r>
        <w:rPr/>
        <w:t xml:space="preserve"> </w:t>
      </w:r>
      <w:r>
        <w:rPr>
          <w:sz w:val="20"/>
          <w:szCs w:val="20"/>
        </w:rPr>
        <w:t>Report of Pacific Gas and Electric Company on Billing System Capability for the Rate Design Phase [Errata Version] at page 4.</w:t>
      </w:r>
    </w:p>
  </w:footnote>
  <w:footnote w:id="7">
    <w:p>
      <w:pPr>
        <w:pStyle w:val="Heading"/>
        <w:spacing w:lineRule="auto" w:line="240"/>
        <w:jc w:val="both"/>
        <w:rPr/>
      </w:pPr>
      <w:r>
        <w:rPr>
          <w:rStyle w:val="FootnoteCharacters"/>
        </w:rPr>
        <w:footnoteRef/>
      </w:r>
      <w:r>
        <w:rPr/>
        <w:tab/>
      </w:r>
      <w:r>
        <w:rPr>
          <w:rStyle w:val="FootnoteCharacters"/>
        </w:rPr>
        <w:t>?</w:t>
      </w:r>
      <w:r>
        <w:rPr/>
        <w:t xml:space="preserve"> </w:t>
      </w:r>
      <w:r>
        <w:rPr>
          <w:b w:val="false"/>
          <w:bCs w:val="false"/>
          <w:sz w:val="20"/>
          <w:szCs w:val="20"/>
        </w:rPr>
        <w:t>April 6, 2001, Brief of the Coalition of California Utility Employees on Rate Design Goals, Process and Schedule at pages 2-3.</w:t>
      </w:r>
    </w:p>
  </w:footnote>
  <w:footnote w:id="8">
    <w:p>
      <w:pPr>
        <w:pStyle w:val="FootnoteText"/>
        <w:rPr/>
      </w:pPr>
      <w:r>
        <w:rPr>
          <w:rStyle w:val="FootnoteCharacters"/>
        </w:rPr>
        <w:footnoteRef/>
      </w:r>
      <w:r>
        <w:rPr/>
        <w:t xml:space="preserve"> </w:t>
      </w:r>
      <w:r>
        <w:rPr>
          <w:sz w:val="20"/>
          <w:szCs w:val="20"/>
        </w:rPr>
        <w:t>Id. at page 3.</w:t>
      </w:r>
    </w:p>
  </w:footnote>
  <w:footnote w:id="9">
    <w:p>
      <w:pPr>
        <w:pStyle w:val="FootnoteText"/>
        <w:rPr/>
      </w:pPr>
      <w:r>
        <w:rPr>
          <w:rStyle w:val="FootnoteCharacters"/>
        </w:rPr>
        <w:footnoteRef/>
      </w:r>
      <w:r>
        <w:rPr/>
        <w:t xml:space="preserve"> </w:t>
      </w:r>
      <w:r>
        <w:rPr>
          <w:sz w:val="20"/>
          <w:szCs w:val="20"/>
        </w:rPr>
        <w:t>I</w:t>
      </w:r>
      <w:bookmarkStart w:id="0" w:name="zImInFootnote"/>
      <w:bookmarkEnd w:id="0"/>
      <w:r>
        <w:rPr>
          <w:sz w:val="20"/>
          <w:szCs w:val="20"/>
        </w:rPr>
        <w:t>d. at pages 3-4.</w:t>
      </w:r>
    </w:p>
    <w:p>
      <w:pPr>
        <w:pStyle w:val="FootnoteText"/>
        <w:rPr>
          <w:sz w:val="20"/>
          <w:szCs w:val="20"/>
        </w:rPr>
      </w:pPr>
      <w:r>
        <w:rPr>
          <w:sz w:val="20"/>
          <w:szCs w:val="20"/>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uppressLineNumbers/>
      <w:spacing w:lineRule="auto" w:line="360"/>
      <w:jc w:val="center"/>
    </w:pPr>
    <w:rPr>
      <w:b/>
      <w:bCs/>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QA">
    <w:name w:val="Q/A"/>
    <w:basedOn w:val="NormalIndent"/>
    <w:qFormat/>
    <w:pPr>
      <w:widowControl w:val="false"/>
      <w:spacing w:lineRule="auto" w:line="360" w:before="0" w:after="0"/>
      <w:ind w:hanging="360" w:start="360" w:end="0"/>
      <w:jc w:val="both"/>
    </w:pPr>
    <w:rPr/>
  </w:style>
  <w:style w:type="paragraph" w:styleId="Body1">
    <w:name w:val="Body1"/>
    <w:basedOn w:val="Normal"/>
    <w:qFormat/>
    <w:pPr>
      <w:spacing w:before="0" w:after="240"/>
      <w:ind w:firstLine="1440" w:start="0" w:end="0"/>
    </w:pPr>
    <w:rPr/>
  </w:style>
  <w:style w:type="paragraph" w:styleId="standard">
    <w:name w:val="standard"/>
    <w:basedOn w:val="Normal"/>
    <w:qFormat/>
    <w:pPr>
      <w:widowControl w:val="false"/>
      <w:spacing w:lineRule="auto" w:line="360"/>
      <w:ind w:firstLine="720" w:start="0" w:end="0"/>
    </w:pPr>
    <w:rPr>
      <w:rFonts w:ascii="PALATINO;Book Antiqua" w:hAnsi="PALATINO;Book Antiqua" w:eastAsia="PALATINO;Book Antiqua" w:cs="PALATINO;Book Antiqua"/>
      <w:b/>
      <w:bCs/>
      <w:sz w:val="26"/>
      <w:szCs w:val="26"/>
    </w:rPr>
  </w:style>
  <w:style w:type="paragraph" w:styleId="LFBodyTextAltds">
    <w:name w:val="LF Body Text Alt ds"/>
    <w:basedOn w:val="Normal"/>
    <w:qFormat/>
    <w:pPr>
      <w:widowControl w:val="false"/>
      <w:spacing w:lineRule="auto" w:line="480"/>
      <w:jc w:val="both"/>
    </w:pPr>
    <w:rPr>
      <w:b/>
      <w:bCs/>
    </w:rPr>
  </w:style>
  <w:style w:type="paragraph" w:styleId="BodyText2">
    <w:name w:val="Body Text 2"/>
    <w:basedOn w:val="Normal"/>
    <w:qFormat/>
    <w:pPr>
      <w:widowControl w:val="false"/>
      <w:suppressAutoHyphens w:val="true"/>
      <w:spacing w:before="0" w:after="240"/>
    </w:pPr>
    <w:rPr>
      <w:rFonts w:ascii="Book Antiqua" w:hAnsi="Book Antiqua" w:eastAsia="Book Antiqua" w:cs="Book Antiqua"/>
      <w:b/>
      <w:bCs/>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2001-04-13T21:56:00Z</dcterms:created>
  <dc:creator>Arter &amp; Hadden</dc:creator>
  <dc:description/>
  <dc:language>en-CA</dc:language>
  <cp:lastModifiedBy>Arter &amp; Hadden</cp:lastModifiedBy>
  <dcterms:modified xsi:type="dcterms:W3CDTF">2001-04-13T22:00:00Z</dcterms:modified>
  <cp:revision>4</cp:revision>
  <dc:subject/>
  <dc:title>PREPARED DIRECT TESTIMONY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