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u w:val="single"/>
        </w:rPr>
      </w:pPr>
      <w:r>
        <w:rPr>
          <w:b/>
          <w:sz w:val="22"/>
          <w:u w:val="single"/>
        </w:rPr>
        <w:t>Permit to Drill Well</w:t>
      </w:r>
    </w:p>
    <w:p>
      <w:pPr>
        <w:pStyle w:val="Normal"/>
        <w:jc w:val="center"/>
        <w:rPr>
          <w:b/>
          <w:sz w:val="22"/>
          <w:u w:val="single"/>
        </w:rPr>
      </w:pPr>
      <w:r>
        <w:rPr>
          <w:b/>
          <w:sz w:val="22"/>
          <w:u w:val="single"/>
        </w:rPr>
      </w:r>
    </w:p>
    <w:p>
      <w:pPr>
        <w:pStyle w:val="Normal"/>
        <w:jc w:val="center"/>
        <w:rPr>
          <w:b/>
          <w:sz w:val="20"/>
          <w:u w:val="single"/>
        </w:rPr>
      </w:pPr>
      <w:r>
        <w:rPr>
          <w:b/>
          <w:sz w:val="22"/>
          <w:u w:val="single"/>
        </w:rPr>
        <w:t>State of Arizona</w:t>
      </w:r>
    </w:p>
    <w:p>
      <w:pPr>
        <w:pStyle w:val="Normal"/>
        <w:rPr>
          <w:b/>
          <w:sz w:val="20"/>
          <w:u w:val="single"/>
        </w:rPr>
      </w:pPr>
      <w:r>
        <w:rPr>
          <w:b/>
          <w:sz w:val="20"/>
          <w:u w:val="single"/>
        </w:rPr>
      </w:r>
    </w:p>
    <w:p>
      <w:pPr>
        <w:pStyle w:val="Normal"/>
        <w:tabs>
          <w:tab w:val="clear" w:pos="720"/>
          <w:tab w:val="left" w:pos="2160" w:leader="none"/>
          <w:tab w:val="left" w:pos="2340" w:leader="none"/>
        </w:tabs>
        <w:spacing w:before="0" w:after="60"/>
        <w:ind w:hanging="2160" w:start="2160" w:end="0"/>
        <w:rPr/>
      </w:pPr>
      <w:r>
        <w:rPr>
          <w:b/>
          <w:sz w:val="20"/>
        </w:rPr>
        <w:t>Regulatory Agency</w:t>
      </w:r>
      <w:r>
        <w:rPr>
          <w:sz w:val="20"/>
        </w:rPr>
        <w:t>:</w:t>
        <w:tab/>
        <w:t>Arizona Department of Water Resources</w:t>
      </w:r>
    </w:p>
    <w:p>
      <w:pPr>
        <w:pStyle w:val="Normal"/>
        <w:tabs>
          <w:tab w:val="clear" w:pos="720"/>
          <w:tab w:val="left" w:pos="2160" w:leader="none"/>
          <w:tab w:val="left" w:pos="2340" w:leader="none"/>
        </w:tabs>
        <w:spacing w:before="0" w:after="60"/>
        <w:ind w:hanging="2160" w:start="2160" w:end="0"/>
        <w:rPr/>
      </w:pPr>
      <w:r>
        <w:rPr>
          <w:b/>
          <w:sz w:val="20"/>
        </w:rPr>
        <w:t>Phone #</w:t>
      </w:r>
      <w:r>
        <w:rPr>
          <w:sz w:val="20"/>
        </w:rPr>
        <w:t xml:space="preserve">: </w:t>
        <w:tab/>
        <w:t>(602) 417-2465</w:t>
      </w:r>
    </w:p>
    <w:p>
      <w:pPr>
        <w:pStyle w:val="Normal"/>
        <w:tabs>
          <w:tab w:val="clear" w:pos="720"/>
          <w:tab w:val="left" w:pos="2160" w:leader="none"/>
          <w:tab w:val="left" w:pos="2340" w:leader="none"/>
        </w:tabs>
        <w:spacing w:before="0" w:after="60"/>
        <w:ind w:hanging="2160" w:start="2160" w:end="0"/>
        <w:rPr/>
      </w:pPr>
      <w:r>
        <w:rPr>
          <w:b/>
          <w:sz w:val="20"/>
        </w:rPr>
        <w:t xml:space="preserve">Permit: </w:t>
        <w:tab/>
      </w:r>
      <w:r>
        <w:rPr>
          <w:sz w:val="20"/>
        </w:rPr>
        <w:t>Drill Card</w:t>
      </w:r>
    </w:p>
    <w:p>
      <w:pPr>
        <w:pStyle w:val="Normal"/>
        <w:tabs>
          <w:tab w:val="clear" w:pos="720"/>
          <w:tab w:val="left" w:pos="2160" w:leader="none"/>
          <w:tab w:val="left" w:pos="2340" w:leader="none"/>
        </w:tabs>
        <w:spacing w:before="0" w:after="60"/>
        <w:ind w:hanging="2160" w:start="2160" w:end="0"/>
        <w:rPr/>
      </w:pPr>
      <w:r>
        <w:rPr>
          <w:b/>
          <w:sz w:val="20"/>
        </w:rPr>
        <w:t>Permit Application:</w:t>
      </w:r>
      <w:r>
        <w:rPr>
          <w:sz w:val="20"/>
        </w:rPr>
        <w:tab/>
        <w:t>Notice of Intention to Drill, Deepen, Replace or Modify a Well (NOI) or</w:t>
      </w:r>
    </w:p>
    <w:p>
      <w:pPr>
        <w:pStyle w:val="Normal"/>
        <w:tabs>
          <w:tab w:val="clear" w:pos="720"/>
          <w:tab w:val="left" w:pos="2160" w:leader="none"/>
          <w:tab w:val="left" w:pos="2340" w:leader="none"/>
        </w:tabs>
        <w:spacing w:before="0" w:after="60"/>
        <w:ind w:hanging="2160" w:start="2160" w:end="0"/>
        <w:rPr/>
      </w:pPr>
      <w:r>
        <w:rPr>
          <w:b/>
          <w:sz w:val="20"/>
        </w:rPr>
        <w:tab/>
      </w:r>
      <w:r>
        <w:rPr>
          <w:sz w:val="20"/>
        </w:rPr>
        <w:t>Application for Permit to Drill a Non-Exempt, Non-Service Area Well Within an Active Management Area (Permit)</w:t>
      </w:r>
    </w:p>
    <w:p>
      <w:pPr>
        <w:pStyle w:val="Normal"/>
        <w:tabs>
          <w:tab w:val="clear" w:pos="720"/>
          <w:tab w:val="left" w:pos="2160" w:leader="none"/>
          <w:tab w:val="left" w:pos="2340" w:leader="none"/>
        </w:tabs>
        <w:spacing w:before="0" w:after="60"/>
        <w:ind w:hanging="2160" w:start="2160" w:end="0"/>
        <w:rPr/>
      </w:pPr>
      <w:r>
        <w:rPr>
          <w:b/>
          <w:sz w:val="20"/>
        </w:rPr>
        <w:t xml:space="preserve">Application Due Date: </w:t>
      </w:r>
      <w:r>
        <w:rPr>
          <w:sz w:val="20"/>
        </w:rPr>
        <w:t>NOI – ADWR has 15 days to approve/deny/request additional information</w:t>
      </w:r>
    </w:p>
    <w:p>
      <w:pPr>
        <w:pStyle w:val="Normal"/>
        <w:tabs>
          <w:tab w:val="clear" w:pos="720"/>
          <w:tab w:val="left" w:pos="2160" w:leader="none"/>
          <w:tab w:val="left" w:pos="2340" w:leader="none"/>
        </w:tabs>
        <w:spacing w:before="0" w:after="60"/>
        <w:ind w:hanging="2160" w:start="2160" w:end="0"/>
        <w:rPr/>
      </w:pPr>
      <w:r>
        <w:rPr>
          <w:b/>
          <w:sz w:val="20"/>
        </w:rPr>
        <w:tab/>
      </w:r>
      <w:r>
        <w:rPr>
          <w:sz w:val="20"/>
        </w:rPr>
        <w:t>Permit – ADWR has 90 days to approve/deny/request additional information</w:t>
      </w:r>
    </w:p>
    <w:p>
      <w:pPr>
        <w:pStyle w:val="Normal"/>
        <w:tabs>
          <w:tab w:val="clear" w:pos="720"/>
          <w:tab w:val="left" w:pos="2160" w:leader="none"/>
          <w:tab w:val="left" w:pos="2340" w:leader="none"/>
        </w:tabs>
        <w:spacing w:before="0" w:after="60"/>
        <w:ind w:hanging="2160" w:start="2160" w:end="0"/>
        <w:rPr/>
      </w:pPr>
      <w:r>
        <w:rPr>
          <w:b/>
          <w:sz w:val="20"/>
        </w:rPr>
        <w:t>Permit Fee:</w:t>
      </w:r>
      <w:r>
        <w:rPr>
          <w:sz w:val="20"/>
        </w:rPr>
        <w:tab/>
        <w:t>NOI - $10 fee</w:t>
      </w:r>
    </w:p>
    <w:p>
      <w:pPr>
        <w:pStyle w:val="Normal"/>
        <w:tabs>
          <w:tab w:val="clear" w:pos="720"/>
          <w:tab w:val="left" w:pos="2160" w:leader="none"/>
          <w:tab w:val="left" w:pos="2340" w:leader="none"/>
        </w:tabs>
        <w:spacing w:before="0" w:after="60"/>
        <w:ind w:hanging="2160" w:start="2160" w:end="0"/>
        <w:rPr/>
      </w:pPr>
      <w:r>
        <w:rPr>
          <w:b/>
          <w:sz w:val="20"/>
        </w:rPr>
        <w:tab/>
      </w:r>
      <w:r>
        <w:rPr>
          <w:sz w:val="20"/>
        </w:rPr>
        <w:t>Permit - $80</w:t>
      </w:r>
    </w:p>
    <w:p>
      <w:pPr>
        <w:pStyle w:val="Normal"/>
        <w:tabs>
          <w:tab w:val="clear" w:pos="720"/>
          <w:tab w:val="left" w:pos="2160" w:leader="none"/>
          <w:tab w:val="left" w:pos="2340" w:leader="none"/>
        </w:tabs>
        <w:spacing w:before="0" w:after="60"/>
        <w:ind w:hanging="2160" w:start="2160" w:end="0"/>
        <w:rPr/>
      </w:pPr>
      <w:r>
        <w:rPr>
          <w:b/>
          <w:sz w:val="20"/>
        </w:rPr>
        <w:t>Notes:</w:t>
        <w:tab/>
      </w:r>
      <w:r>
        <w:rPr>
          <w:sz w:val="20"/>
        </w:rPr>
        <w:t xml:space="preserve">There are five Active Management Areas (AMAs) in Arizona (Prescott, Pinal, Phoenix, Tucson, Santa Cruz).  </w:t>
      </w:r>
    </w:p>
    <w:p>
      <w:pPr>
        <w:pStyle w:val="Normal"/>
        <w:tabs>
          <w:tab w:val="clear" w:pos="720"/>
          <w:tab w:val="left" w:pos="2160" w:leader="none"/>
          <w:tab w:val="left" w:pos="2340" w:leader="none"/>
        </w:tabs>
        <w:spacing w:before="0" w:after="60"/>
        <w:ind w:hanging="2160" w:start="2160" w:end="0"/>
        <w:rPr/>
      </w:pPr>
      <w:r>
        <w:rPr>
          <w:b/>
          <w:sz w:val="20"/>
        </w:rPr>
        <w:tab/>
      </w:r>
      <w:r>
        <w:rPr>
          <w:b/>
          <w:i/>
          <w:sz w:val="20"/>
        </w:rPr>
        <w:t>Non-AMA</w:t>
      </w:r>
      <w:r>
        <w:rPr>
          <w:sz w:val="20"/>
        </w:rPr>
        <w:t xml:space="preserve"> – For any well outside of an AMA, applicant must file NOI.  Once approved and drill card issued, applicant has one year from date of NOI submittal to have certified drilling company complete drilling of the well.</w:t>
      </w:r>
    </w:p>
    <w:p>
      <w:pPr>
        <w:pStyle w:val="Normal"/>
        <w:tabs>
          <w:tab w:val="clear" w:pos="720"/>
          <w:tab w:val="left" w:pos="2160" w:leader="none"/>
          <w:tab w:val="left" w:pos="2340" w:leader="none"/>
        </w:tabs>
        <w:spacing w:before="0" w:after="60"/>
        <w:ind w:hanging="2160" w:start="2160" w:end="0"/>
        <w:rPr/>
      </w:pPr>
      <w:r>
        <w:rPr>
          <w:sz w:val="20"/>
        </w:rPr>
        <w:tab/>
      </w:r>
      <w:r>
        <w:rPr>
          <w:b/>
          <w:i/>
          <w:sz w:val="20"/>
        </w:rPr>
        <w:t>AMA</w:t>
      </w:r>
      <w:r>
        <w:rPr>
          <w:sz w:val="20"/>
        </w:rPr>
        <w:t xml:space="preserve"> – Wells within AMAs are divided into two categories:</w:t>
      </w:r>
    </w:p>
    <w:p>
      <w:pPr>
        <w:pStyle w:val="Normal"/>
        <w:numPr>
          <w:ilvl w:val="0"/>
          <w:numId w:val="3"/>
        </w:numPr>
        <w:tabs>
          <w:tab w:val="clear" w:pos="720"/>
          <w:tab w:val="left" w:pos="2160" w:leader="none"/>
          <w:tab w:val="left" w:pos="2340" w:leader="none"/>
        </w:tabs>
        <w:spacing w:before="0" w:after="60"/>
        <w:rPr>
          <w:sz w:val="20"/>
        </w:rPr>
      </w:pPr>
      <w:r>
        <w:rPr>
          <w:sz w:val="20"/>
        </w:rPr>
        <w:t>Exempt Wells – well that pumps 35 gallons/minute and 10 acre-feet/year or less.  Follow NOI process.</w:t>
      </w:r>
    </w:p>
    <w:p>
      <w:pPr>
        <w:pStyle w:val="Normal"/>
        <w:numPr>
          <w:ilvl w:val="0"/>
          <w:numId w:val="3"/>
        </w:numPr>
        <w:tabs>
          <w:tab w:val="clear" w:pos="720"/>
          <w:tab w:val="left" w:pos="2160" w:leader="none"/>
          <w:tab w:val="left" w:pos="2340" w:leader="none"/>
        </w:tabs>
        <w:spacing w:before="0" w:after="60"/>
        <w:rPr>
          <w:sz w:val="20"/>
        </w:rPr>
      </w:pPr>
      <w:r>
        <w:rPr>
          <w:sz w:val="20"/>
        </w:rPr>
        <w:t>Non-Exempt Wells – well that pumps over 35 gallons/minute and/or 10 acre-feet/year.  Prior to permit, applicant must obtain legal water right and ADWR must conduct an impact analysis showing that no nearby wells will be affected.  Once approved and permit and drill card issued, applicant has one year from date of approval to have certified drilling company complete drilling of the well.</w:t>
      </w:r>
    </w:p>
    <w:p>
      <w:pPr>
        <w:pStyle w:val="Normal"/>
        <w:tabs>
          <w:tab w:val="clear" w:pos="720"/>
          <w:tab w:val="left" w:pos="2160" w:leader="none"/>
          <w:tab w:val="left" w:pos="2340" w:leader="none"/>
        </w:tabs>
        <w:spacing w:before="0" w:after="60"/>
        <w:ind w:hanging="2160" w:start="2160" w:end="0"/>
        <w:rPr/>
      </w:pPr>
      <w:r>
        <w:rPr>
          <w:b/>
          <w:sz w:val="20"/>
        </w:rPr>
        <w:t>Required Information:</w:t>
        <w:tab/>
      </w:r>
      <w:r>
        <w:rPr>
          <w:sz w:val="20"/>
        </w:rPr>
        <w:t>Required information is listed in the attached NOI/Application.  Listed below is some of the information required.  Refer to the NOI/Permit Application for a complete list of specific instructions and requirements.</w:t>
      </w:r>
    </w:p>
    <w:p>
      <w:pPr>
        <w:pStyle w:val="Normal"/>
        <w:tabs>
          <w:tab w:val="clear" w:pos="720"/>
          <w:tab w:val="left" w:pos="2160" w:leader="none"/>
        </w:tabs>
        <w:spacing w:before="0" w:after="60"/>
        <w:rPr/>
      </w:pPr>
      <w:r>
        <w:rPr>
          <w:sz w:val="20"/>
        </w:rPr>
        <w:tab/>
      </w:r>
      <w:r>
        <w:rPr>
          <w:b/>
          <w:i/>
          <w:sz w:val="20"/>
        </w:rPr>
        <w:t>NOI</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Legal description</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Date of construction</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Casing type</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Design pump capacity</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Whether drill site is located near septic tank, sewage disposal area, landfill, hazardous waste facility, etc.</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Drilling Firm</w:t>
      </w:r>
    </w:p>
    <w:p>
      <w:pPr>
        <w:pStyle w:val="Normal"/>
        <w:tabs>
          <w:tab w:val="clear" w:pos="720"/>
          <w:tab w:val="left" w:pos="2160" w:leader="none"/>
          <w:tab w:val="left" w:pos="2340" w:leader="none"/>
        </w:tabs>
        <w:spacing w:before="0" w:after="60"/>
        <w:rPr/>
      </w:pPr>
      <w:r>
        <w:rPr>
          <w:sz w:val="20"/>
        </w:rPr>
        <w:tab/>
      </w:r>
      <w:r>
        <w:rPr>
          <w:b/>
          <w:i/>
          <w:sz w:val="20"/>
        </w:rPr>
        <w:t>Permit Application</w:t>
      </w:r>
      <w:r>
        <w:rPr>
          <w:sz w:val="20"/>
        </w:rPr>
        <w:t xml:space="preserve"> (in addition to above)</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Annual volume of water</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Sub-basin of AMA</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Well construction plan</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Method of well development</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Construction diagram</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Water rights</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Impact analysis</w:t>
      </w:r>
      <w:r>
        <w:br w:type="page"/>
      </w:r>
    </w:p>
    <w:p>
      <w:pPr>
        <w:pStyle w:val="Normal"/>
        <w:jc w:val="center"/>
        <w:rPr>
          <w:b/>
          <w:sz w:val="22"/>
          <w:u w:val="single"/>
        </w:rPr>
      </w:pPr>
      <w:r>
        <w:rPr>
          <w:b/>
          <w:sz w:val="22"/>
          <w:u w:val="single"/>
        </w:rPr>
        <w:t>Permit to Drill Well</w:t>
      </w:r>
    </w:p>
    <w:p>
      <w:pPr>
        <w:pStyle w:val="Normal"/>
        <w:jc w:val="center"/>
        <w:rPr>
          <w:b/>
          <w:sz w:val="22"/>
          <w:u w:val="single"/>
        </w:rPr>
      </w:pPr>
      <w:r>
        <w:rPr>
          <w:b/>
          <w:sz w:val="22"/>
          <w:u w:val="single"/>
        </w:rPr>
      </w:r>
    </w:p>
    <w:p>
      <w:pPr>
        <w:pStyle w:val="Normal"/>
        <w:jc w:val="center"/>
        <w:rPr>
          <w:b/>
          <w:sz w:val="20"/>
          <w:u w:val="single"/>
        </w:rPr>
      </w:pPr>
      <w:r>
        <w:rPr>
          <w:b/>
          <w:sz w:val="22"/>
          <w:u w:val="single"/>
        </w:rPr>
        <w:t>State of New Mexico</w:t>
      </w:r>
    </w:p>
    <w:p>
      <w:pPr>
        <w:pStyle w:val="Normal"/>
        <w:rPr>
          <w:b/>
          <w:sz w:val="20"/>
          <w:u w:val="single"/>
        </w:rPr>
      </w:pPr>
      <w:r>
        <w:rPr>
          <w:b/>
          <w:sz w:val="20"/>
          <w:u w:val="single"/>
        </w:rPr>
      </w:r>
    </w:p>
    <w:p>
      <w:pPr>
        <w:pStyle w:val="Normal"/>
        <w:tabs>
          <w:tab w:val="clear" w:pos="720"/>
          <w:tab w:val="left" w:pos="2160" w:leader="none"/>
          <w:tab w:val="left" w:pos="2340" w:leader="none"/>
        </w:tabs>
        <w:spacing w:before="0" w:after="60"/>
        <w:ind w:hanging="2160" w:start="2160" w:end="0"/>
        <w:rPr/>
      </w:pPr>
      <w:r>
        <w:rPr>
          <w:b/>
          <w:sz w:val="20"/>
        </w:rPr>
        <w:t>Regulatory Agency</w:t>
      </w:r>
      <w:r>
        <w:rPr>
          <w:sz w:val="20"/>
        </w:rPr>
        <w:t>:</w:t>
        <w:tab/>
        <w:t>New Mexico Office of the State Engineer</w:t>
      </w:r>
    </w:p>
    <w:p>
      <w:pPr>
        <w:pStyle w:val="Normal"/>
        <w:tabs>
          <w:tab w:val="clear" w:pos="720"/>
          <w:tab w:val="left" w:pos="2160" w:leader="none"/>
          <w:tab w:val="left" w:pos="2340" w:leader="none"/>
        </w:tabs>
        <w:spacing w:before="0" w:after="60"/>
        <w:ind w:hanging="2160" w:start="2160" w:end="0"/>
        <w:rPr/>
      </w:pPr>
      <w:r>
        <w:rPr>
          <w:b/>
          <w:sz w:val="20"/>
        </w:rPr>
        <w:t>Phone #</w:t>
      </w:r>
      <w:r>
        <w:rPr>
          <w:sz w:val="20"/>
        </w:rPr>
        <w:t xml:space="preserve">: </w:t>
        <w:tab/>
        <w:t>(505) 827-6120</w:t>
      </w:r>
    </w:p>
    <w:p>
      <w:pPr>
        <w:pStyle w:val="Normal"/>
        <w:tabs>
          <w:tab w:val="clear" w:pos="720"/>
          <w:tab w:val="left" w:pos="2160" w:leader="none"/>
          <w:tab w:val="left" w:pos="2340" w:leader="none"/>
        </w:tabs>
        <w:spacing w:before="0" w:after="60"/>
        <w:ind w:hanging="2160" w:start="2160" w:end="0"/>
        <w:rPr/>
      </w:pPr>
      <w:r>
        <w:rPr>
          <w:b/>
          <w:sz w:val="20"/>
        </w:rPr>
        <w:t xml:space="preserve">Permit: </w:t>
        <w:tab/>
      </w:r>
      <w:r>
        <w:rPr>
          <w:sz w:val="20"/>
        </w:rPr>
        <w:t>Permit to Use Underground Waters</w:t>
      </w:r>
    </w:p>
    <w:p>
      <w:pPr>
        <w:pStyle w:val="Normal"/>
        <w:tabs>
          <w:tab w:val="clear" w:pos="720"/>
          <w:tab w:val="left" w:pos="2160" w:leader="none"/>
          <w:tab w:val="left" w:pos="2340" w:leader="none"/>
        </w:tabs>
        <w:spacing w:before="0" w:after="60"/>
        <w:ind w:hanging="2160" w:start="2160" w:end="0"/>
        <w:rPr/>
      </w:pPr>
      <w:r>
        <w:rPr>
          <w:b/>
          <w:sz w:val="20"/>
        </w:rPr>
        <w:t>Permit Application:</w:t>
      </w:r>
      <w:r>
        <w:rPr>
          <w:sz w:val="20"/>
        </w:rPr>
        <w:tab/>
        <w:t>Application for Permit to Use Underground Waters</w:t>
      </w:r>
    </w:p>
    <w:p>
      <w:pPr>
        <w:pStyle w:val="Normal"/>
        <w:tabs>
          <w:tab w:val="clear" w:pos="720"/>
          <w:tab w:val="left" w:pos="2160" w:leader="none"/>
          <w:tab w:val="left" w:pos="2340" w:leader="none"/>
        </w:tabs>
        <w:spacing w:before="0" w:after="60"/>
        <w:ind w:hanging="2160" w:start="2160" w:end="0"/>
        <w:rPr/>
      </w:pPr>
      <w:r>
        <w:rPr>
          <w:b/>
          <w:sz w:val="20"/>
        </w:rPr>
        <w:t xml:space="preserve">Application Due Date: </w:t>
      </w:r>
      <w:r>
        <w:rPr>
          <w:sz w:val="20"/>
        </w:rPr>
        <w:t>Allow one month.</w:t>
      </w:r>
    </w:p>
    <w:p>
      <w:pPr>
        <w:pStyle w:val="Normal"/>
        <w:tabs>
          <w:tab w:val="clear" w:pos="720"/>
          <w:tab w:val="left" w:pos="2160" w:leader="none"/>
          <w:tab w:val="left" w:pos="2340" w:leader="none"/>
        </w:tabs>
        <w:spacing w:before="0" w:after="60"/>
        <w:ind w:hanging="2160" w:start="2160" w:end="0"/>
        <w:rPr/>
      </w:pPr>
      <w:r>
        <w:rPr>
          <w:b/>
          <w:sz w:val="20"/>
        </w:rPr>
        <w:t>Permit Fee:</w:t>
      </w:r>
      <w:r>
        <w:rPr>
          <w:sz w:val="20"/>
        </w:rPr>
        <w:tab/>
        <w:t>$5 fee.</w:t>
      </w:r>
    </w:p>
    <w:p>
      <w:pPr>
        <w:pStyle w:val="Normal"/>
        <w:tabs>
          <w:tab w:val="clear" w:pos="720"/>
          <w:tab w:val="left" w:pos="2160" w:leader="none"/>
          <w:tab w:val="left" w:pos="2340" w:leader="none"/>
        </w:tabs>
        <w:spacing w:before="0" w:after="60"/>
        <w:ind w:hanging="2160" w:start="2160" w:end="0"/>
        <w:rPr/>
      </w:pPr>
      <w:r>
        <w:rPr>
          <w:b/>
          <w:sz w:val="20"/>
        </w:rPr>
        <w:t>Notes:</w:t>
        <w:tab/>
      </w:r>
      <w:r>
        <w:rPr>
          <w:sz w:val="20"/>
        </w:rPr>
        <w:t>Allowed for temporary use, not to exceed 3 acre-feet per year.  For long-term wells, applicant should contact the NM State Engineer’s Office.</w:t>
      </w:r>
    </w:p>
    <w:p>
      <w:pPr>
        <w:pStyle w:val="Normal"/>
        <w:tabs>
          <w:tab w:val="clear" w:pos="720"/>
          <w:tab w:val="left" w:pos="2160" w:leader="none"/>
          <w:tab w:val="left" w:pos="2340" w:leader="none"/>
        </w:tabs>
        <w:spacing w:before="0" w:after="60"/>
        <w:ind w:hanging="2160" w:start="2160" w:end="0"/>
        <w:rPr/>
      </w:pPr>
      <w:r>
        <w:rPr>
          <w:b/>
          <w:sz w:val="20"/>
        </w:rPr>
        <w:t>Required Information:</w:t>
        <w:tab/>
      </w:r>
      <w:r>
        <w:rPr>
          <w:sz w:val="20"/>
        </w:rPr>
        <w:t>Required information is listed in the attached Application.  Listed below is some of the information required.  Refer to the Application for a complete list of specific instructions and requirements.</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Legal description of location of well</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Land owner</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Use of water</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Drilling firm</w:t>
      </w:r>
    </w:p>
    <w:p>
      <w:pPr>
        <w:pStyle w:val="Normal"/>
        <w:numPr>
          <w:ilvl w:val="0"/>
          <w:numId w:val="2"/>
        </w:numPr>
        <w:tabs>
          <w:tab w:val="clear" w:pos="720"/>
          <w:tab w:val="left" w:pos="2340" w:leader="none"/>
          <w:tab w:val="left" w:pos="2520" w:leader="none"/>
        </w:tabs>
        <w:spacing w:before="0" w:after="60"/>
        <w:ind w:hanging="180" w:start="2340" w:end="0"/>
        <w:rPr>
          <w:sz w:val="20"/>
        </w:rPr>
      </w:pPr>
      <w:r>
        <w:rPr>
          <w:sz w:val="20"/>
        </w:rPr>
        <w:t>Purpose of well</w:t>
      </w:r>
    </w:p>
    <w:p>
      <w:pPr>
        <w:pStyle w:val="Normal"/>
        <w:tabs>
          <w:tab w:val="clear" w:pos="720"/>
          <w:tab w:val="left" w:pos="2340" w:leader="none"/>
        </w:tabs>
        <w:spacing w:before="0" w:after="60"/>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24"/>
        </w:tabs>
        <w:ind w:start="1224" w:hanging="360"/>
      </w:pPr>
      <w:rPr>
        <w:rFonts w:ascii="Symbol" w:hAnsi="Symbol" w:cs="Symbol" w:hint="default"/>
        <w:color w:val="auto"/>
      </w:rPr>
    </w:lvl>
  </w:abstractNum>
  <w:abstractNum w:abstractNumId="3">
    <w:lvl w:ilvl="0">
      <w:start w:val="1"/>
      <w:numFmt w:val="decimal"/>
      <w:lvlText w:val="%1."/>
      <w:lvlJc w:val="start"/>
      <w:pPr>
        <w:tabs>
          <w:tab w:val="num" w:pos="2700"/>
        </w:tabs>
        <w:ind w:start="27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sz w:val="21"/>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style>
  <w:style w:type="character" w:styleId="WW8Num5z0">
    <w:name w:val="WW8Num5z0"/>
    <w:qFormat/>
    <w:rPr>
      <w:rFonts w:ascii="Symbol" w:hAnsi="Symbol" w:cs="Symbol"/>
      <w:color w:val="auto"/>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color w:val="auto"/>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DefinitionList">
    <w:name w:val="Definition List"/>
    <w:basedOn w:val="Normal"/>
    <w:next w:val="Normal"/>
    <w:qFormat/>
    <w:pPr>
      <w:spacing w:lineRule="auto" w:line="240"/>
      <w:ind w:hanging="0" w:start="360" w:end="0"/>
    </w:pPr>
    <w:rPr>
      <w:rFonts w:ascii="Times New Roman" w:hAnsi="Times New Roman" w:cs="Times New Roman"/>
      <w:sz w:val="24"/>
      <w:lang w:eastAsia="en-US"/>
    </w:rPr>
  </w:style>
  <w:style w:type="paragraph" w:styleId="BodyTextIndent2">
    <w:name w:val="Body Text Indent 2"/>
    <w:basedOn w:val="Normal"/>
    <w:qFormat/>
    <w:pPr>
      <w:tabs>
        <w:tab w:val="clear" w:pos="720"/>
        <w:tab w:val="left" w:pos="2160" w:leader="none"/>
      </w:tabs>
      <w:ind w:hanging="2160" w:start="2160" w:end="0"/>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2001-09-17T16:15:00Z</dcterms:created>
  <dc:creator>Janet Wood</dc:creator>
  <dc:description/>
  <dc:language>en-CA</dc:language>
  <cp:lastModifiedBy> </cp:lastModifiedBy>
  <cp:lastPrinted>2001-08-01T15:21:00Z</cp:lastPrinted>
  <dcterms:modified xsi:type="dcterms:W3CDTF">2001-09-17T16:50:00Z</dcterms:modified>
  <cp:revision>8</cp:revision>
  <dc:subject/>
  <dc:title>Hydrostatic Test Water Discharge Permit</dc:title>
</cp:coreProperties>
</file>