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shd w:fill="000000" w:val="clear"/>
        <w:outlineLvl w:val="0"/>
        <w:rPr>
          <w:rFonts w:ascii="Book Antiqua" w:hAnsi="Book Antiqua" w:cs="Book Antiqua"/>
          <w:sz w:val="44"/>
        </w:rPr>
      </w:pPr>
      <w:r>
        <w:rPr>
          <w:rFonts w:cs="Book Antiqua" w:ascii="Book Antiqua" w:hAnsi="Book Antiqua"/>
          <w:sz w:val="44"/>
        </w:rPr>
        <w:t>The CWC Group</w:t>
      </w:r>
    </w:p>
    <w:p>
      <w:pPr>
        <w:pStyle w:val="Heading"/>
        <w:numPr>
          <w:ilvl w:val="0"/>
          <w:numId w:val="0"/>
        </w:numPr>
        <w:shd w:fill="000000" w:val="clear"/>
        <w:outlineLvl w:val="0"/>
        <w:rPr>
          <w:rFonts w:ascii="Book Antiqua" w:hAnsi="Book Antiqua" w:cs="Book Antiqua"/>
          <w:sz w:val="36"/>
        </w:rPr>
      </w:pPr>
      <w:r>
        <w:rPr>
          <w:rFonts w:cs="Book Antiqua" w:ascii="Book Antiqua" w:hAnsi="Book Antiqua"/>
          <w:sz w:val="36"/>
        </w:rPr>
        <w:t>Capital Worldwide communication</w:t>
      </w:r>
    </w:p>
    <w:p>
      <w:pPr>
        <w:pStyle w:val="Normal"/>
        <w:rPr>
          <w:rFonts w:ascii="Book Antiqua" w:hAnsi="Book Antiqua" w:cs="Book Antiqua"/>
          <w:sz w:val="22"/>
          <w:lang w:val="en-US" w:eastAsia="en-US"/>
        </w:rPr>
      </w:pPr>
      <w:r>
        <w:rPr>
          <w:rFonts w:cs="Book Antiqua" w:ascii="Book Antiqua" w:hAnsi="Book Antiqua"/>
          <w:sz w:val="22"/>
          <w:lang w:val="en-US" w:eastAsia="en-US"/>
        </w:rPr>
      </w:r>
    </w:p>
    <w:p>
      <w:pPr>
        <w:pStyle w:val="Normal"/>
        <w:rPr/>
      </w:pPr>
      <w:r>
        <w:rPr>
          <w:rFonts w:cs="Book Antiqua" w:ascii="Book Antiqua" w:hAnsi="Book Antiqua"/>
          <w:sz w:val="22"/>
          <w:lang w:val="en-US" w:eastAsia="en-US"/>
        </w:rPr>
        <w:t xml:space="preserve">The CWC Group of companies work directly with governments, senior industry executives and advisors in the </w:t>
      </w:r>
      <w:r>
        <w:rPr>
          <w:rFonts w:cs="Book Antiqua" w:ascii="Book Antiqua" w:hAnsi="Book Antiqua"/>
          <w:b/>
          <w:sz w:val="22"/>
          <w:lang w:val="en-US" w:eastAsia="en-US"/>
        </w:rPr>
        <w:t>* energy,  * water * industry and commerce and * telecommunications sectors</w:t>
      </w:r>
      <w:r>
        <w:rPr>
          <w:rFonts w:cs="Book Antiqua" w:ascii="Book Antiqua" w:hAnsi="Book Antiqua"/>
          <w:sz w:val="22"/>
          <w:lang w:val="en-US" w:eastAsia="en-US"/>
        </w:rPr>
        <w:t>.</w:t>
      </w:r>
    </w:p>
    <w:p>
      <w:pPr>
        <w:pStyle w:val="Normal"/>
        <w:rPr>
          <w:rFonts w:ascii="Book Antiqua" w:hAnsi="Book Antiqua" w:cs="Book Antiqua"/>
          <w:sz w:val="22"/>
          <w:lang w:val="en-US" w:eastAsia="en-US"/>
        </w:rPr>
      </w:pPr>
      <w:r>
        <w:rPr>
          <w:rFonts w:cs="Book Antiqua" w:ascii="Book Antiqua" w:hAnsi="Book Antiqua"/>
          <w:sz w:val="22"/>
          <w:lang w:val="en-US" w:eastAsia="en-US"/>
        </w:rPr>
      </w:r>
    </w:p>
    <w:p>
      <w:pPr>
        <w:pStyle w:val="Normal"/>
        <w:rPr>
          <w:rFonts w:ascii="Book Antiqua" w:hAnsi="Book Antiqua" w:cs="Book Antiqua"/>
          <w:sz w:val="22"/>
          <w:lang w:val="en-US" w:eastAsia="en-US"/>
        </w:rPr>
      </w:pPr>
      <w:r>
        <w:rPr>
          <w:rFonts w:cs="Book Antiqua" w:ascii="Book Antiqua" w:hAnsi="Book Antiqua"/>
          <w:sz w:val="22"/>
          <w:lang w:val="en-US" w:eastAsia="en-US"/>
        </w:rPr>
        <w:t xml:space="preserve">Group companies are primarily internet-led and structured around three key industry portals. Each sector is structured and linked to an exceptional network of contacts to help provide bespoke packages: </w:t>
      </w:r>
    </w:p>
    <w:p>
      <w:pPr>
        <w:pStyle w:val="Normal"/>
        <w:rPr>
          <w:rFonts w:ascii="Book Antiqua" w:hAnsi="Book Antiqua" w:cs="Book Antiqua"/>
          <w:sz w:val="22"/>
          <w:lang w:val="en-US" w:eastAsia="en-US"/>
        </w:rPr>
      </w:pPr>
      <w:r>
        <w:rPr>
          <w:rFonts w:cs="Book Antiqua" w:ascii="Book Antiqua" w:hAnsi="Book Antiqua"/>
          <w:sz w:val="22"/>
          <w:lang w:val="en-US" w:eastAsia="en-US"/>
        </w:rPr>
      </w:r>
    </w:p>
    <w:p>
      <w:pPr>
        <w:pStyle w:val="Normal"/>
        <w:numPr>
          <w:ilvl w:val="0"/>
          <w:numId w:val="2"/>
        </w:numPr>
        <w:rPr>
          <w:rFonts w:ascii="Book Antiqua" w:hAnsi="Book Antiqua" w:cs="Book Antiqua"/>
          <w:sz w:val="22"/>
          <w:lang w:val="en-US" w:eastAsia="en-US"/>
        </w:rPr>
      </w:pPr>
      <w:r>
        <w:rPr>
          <w:rFonts w:cs="Book Antiqua" w:ascii="Book Antiqua" w:hAnsi="Book Antiqua"/>
          <w:sz w:val="22"/>
          <w:lang w:val="en-US" w:eastAsia="en-US"/>
        </w:rPr>
        <w:t xml:space="preserve">Offering information and networking opportunities for all decision making processes and investments.  </w:t>
      </w:r>
      <w:r>
        <w:rPr>
          <w:rFonts w:cs="Book Antiqua" w:ascii="Book Antiqua" w:hAnsi="Book Antiqua"/>
          <w:b/>
          <w:sz w:val="22"/>
          <w:lang w:val="en-US" w:eastAsia="en-US"/>
        </w:rPr>
        <w:t>Events</w:t>
      </w:r>
      <w:r>
        <w:rPr>
          <w:rFonts w:cs="Book Antiqua" w:ascii="Book Antiqua" w:hAnsi="Book Antiqua"/>
          <w:sz w:val="22"/>
          <w:lang w:val="en-US" w:eastAsia="en-US"/>
        </w:rPr>
        <w:t xml:space="preserve"> range from ministerial summits, research-led conferences to private retreats, which provide excellent information and networking opportunities for senior executives. </w:t>
      </w:r>
    </w:p>
    <w:p>
      <w:pPr>
        <w:pStyle w:val="Normal"/>
        <w:numPr>
          <w:ilvl w:val="0"/>
          <w:numId w:val="2"/>
        </w:numPr>
        <w:rPr>
          <w:rFonts w:ascii="Book Antiqua" w:hAnsi="Book Antiqua" w:cs="Book Antiqua"/>
          <w:sz w:val="22"/>
          <w:lang w:val="en-US" w:eastAsia="en-US"/>
        </w:rPr>
      </w:pPr>
      <w:r>
        <w:rPr>
          <w:rFonts w:cs="Book Antiqua" w:ascii="Book Antiqua" w:hAnsi="Book Antiqua"/>
          <w:sz w:val="22"/>
          <w:lang w:val="en-US" w:eastAsia="en-US"/>
        </w:rPr>
        <w:t xml:space="preserve">Promoting dialogue and co operation between governments and international companies.  </w:t>
      </w:r>
      <w:r>
        <w:rPr>
          <w:rFonts w:cs="Book Antiqua" w:ascii="Book Antiqua" w:hAnsi="Book Antiqua"/>
          <w:b/>
          <w:sz w:val="22"/>
          <w:lang w:val="en-US" w:eastAsia="en-US"/>
        </w:rPr>
        <w:t>Our information and advisory services</w:t>
      </w:r>
      <w:r>
        <w:rPr>
          <w:rFonts w:cs="Book Antiqua" w:ascii="Book Antiqua" w:hAnsi="Book Antiqua"/>
          <w:sz w:val="22"/>
          <w:lang w:val="en-US" w:eastAsia="en-US"/>
        </w:rPr>
        <w:t xml:space="preserve"> include regular interactive e-alerts, newsletters, management reports, bespoke advisory services, consulting and a "question line" to ensure that we provide:</w:t>
      </w:r>
    </w:p>
    <w:p>
      <w:pPr>
        <w:pStyle w:val="Normal"/>
        <w:numPr>
          <w:ilvl w:val="0"/>
          <w:numId w:val="3"/>
        </w:numPr>
        <w:rPr>
          <w:rFonts w:ascii="Book Antiqua" w:hAnsi="Book Antiqua" w:cs="Book Antiqua"/>
          <w:sz w:val="22"/>
          <w:lang w:val="en-US" w:eastAsia="en-US"/>
        </w:rPr>
      </w:pPr>
      <w:r>
        <w:rPr>
          <w:rFonts w:cs="Book Antiqua" w:ascii="Book Antiqua" w:hAnsi="Book Antiqua"/>
          <w:sz w:val="22"/>
          <w:lang w:val="en-US" w:eastAsia="en-US"/>
        </w:rPr>
        <w:t>Up-to-the-minute news and investment information</w:t>
      </w:r>
    </w:p>
    <w:p>
      <w:pPr>
        <w:pStyle w:val="Normal"/>
        <w:numPr>
          <w:ilvl w:val="0"/>
          <w:numId w:val="3"/>
        </w:numPr>
        <w:rPr>
          <w:rFonts w:ascii="Book Antiqua" w:hAnsi="Book Antiqua" w:cs="Book Antiqua"/>
          <w:sz w:val="22"/>
          <w:lang w:val="en-US" w:eastAsia="en-US"/>
        </w:rPr>
      </w:pPr>
      <w:r>
        <w:rPr>
          <w:rFonts w:cs="Book Antiqua" w:ascii="Book Antiqua" w:hAnsi="Book Antiqua"/>
          <w:sz w:val="22"/>
          <w:lang w:val="en-US" w:eastAsia="en-US"/>
        </w:rPr>
        <w:t xml:space="preserve">Interpretation of strategic, economic, political, technological and geological developments </w:t>
      </w:r>
    </w:p>
    <w:p>
      <w:pPr>
        <w:pStyle w:val="Normal"/>
        <w:numPr>
          <w:ilvl w:val="0"/>
          <w:numId w:val="3"/>
        </w:numPr>
        <w:rPr>
          <w:rFonts w:ascii="Book Antiqua" w:hAnsi="Book Antiqua" w:cs="Book Antiqua"/>
          <w:sz w:val="22"/>
          <w:lang w:val="en-US" w:eastAsia="en-US"/>
        </w:rPr>
      </w:pPr>
      <w:r>
        <w:rPr>
          <w:rFonts w:cs="Book Antiqua" w:ascii="Book Antiqua" w:hAnsi="Book Antiqua"/>
          <w:sz w:val="22"/>
          <w:lang w:val="en-US" w:eastAsia="en-US"/>
        </w:rPr>
        <w:t xml:space="preserve">In-depth analysis of industry specific issues </w:t>
      </w:r>
    </w:p>
    <w:p>
      <w:pPr>
        <w:pStyle w:val="Normal"/>
        <w:numPr>
          <w:ilvl w:val="0"/>
          <w:numId w:val="3"/>
        </w:numPr>
        <w:rPr>
          <w:rFonts w:ascii="Book Antiqua" w:hAnsi="Book Antiqua" w:cs="Book Antiqua"/>
          <w:sz w:val="22"/>
          <w:lang w:val="en-US" w:eastAsia="en-US"/>
        </w:rPr>
      </w:pPr>
      <w:r>
        <w:rPr>
          <w:rFonts w:cs="Book Antiqua" w:ascii="Book Antiqua" w:hAnsi="Book Antiqua"/>
          <w:sz w:val="22"/>
          <w:lang w:val="en-US" w:eastAsia="en-US"/>
        </w:rPr>
        <w:t>Bespoke advice</w:t>
      </w:r>
    </w:p>
    <w:p>
      <w:pPr>
        <w:pStyle w:val="Normal"/>
        <w:rPr>
          <w:rFonts w:ascii="Book Antiqua" w:hAnsi="Book Antiqua" w:cs="Book Antiqua"/>
          <w:sz w:val="22"/>
          <w:lang w:val="en-US" w:eastAsia="en-US"/>
        </w:rPr>
      </w:pPr>
      <w:r>
        <w:rPr>
          <w:rFonts w:cs="Book Antiqua" w:ascii="Book Antiqua" w:hAnsi="Book Antiqua"/>
          <w:sz w:val="22"/>
          <w:lang w:val="en-US" w:eastAsia="en-US"/>
        </w:rPr>
      </w:r>
    </w:p>
    <w:p>
      <w:pPr>
        <w:pStyle w:val="Normal"/>
        <w:rPr>
          <w:rFonts w:ascii="Book Antiqua" w:hAnsi="Book Antiqua" w:cs="Book Antiqua"/>
          <w:sz w:val="22"/>
          <w:lang w:val="en-US" w:eastAsia="en-US"/>
        </w:rPr>
      </w:pPr>
      <w:r>
        <w:rPr>
          <w:rFonts w:cs="Book Antiqua" w:ascii="Book Antiqua" w:hAnsi="Book Antiqua"/>
          <w:sz w:val="22"/>
          <w:lang w:val="en-US" w:eastAsia="en-US"/>
        </w:rPr>
        <w:t>With a first-rate reputation for working at the highest levels, the CWC Group of companies are proud that collaborators past and present include the World Bank, the Energy Intelligence Group, the Centre for Global Energy Studies, OPEC and the ministries and/or regulators of:</w:t>
      </w:r>
    </w:p>
    <w:p>
      <w:pPr>
        <w:pStyle w:val="Normal"/>
        <w:rPr>
          <w:rFonts w:ascii="Book Antiqua" w:hAnsi="Book Antiqua" w:cs="Book Antiqua"/>
          <w:sz w:val="22"/>
          <w:lang w:val="en-US" w:eastAsia="en-US"/>
        </w:rPr>
      </w:pPr>
      <w:r>
        <w:rPr>
          <w:rFonts w:cs="Book Antiqua" w:ascii="Book Antiqua" w:hAnsi="Book Antiqua"/>
          <w:sz w:val="22"/>
          <w:lang w:val="en-US" w:eastAsia="en-US"/>
        </w:rPr>
      </w:r>
    </w:p>
    <w:p>
      <w:pPr>
        <w:sectPr>
          <w:type w:val="nextPage"/>
          <w:pgSz w:w="12240" w:h="15840"/>
          <w:pgMar w:left="1701" w:right="1701" w:gutter="0" w:header="0" w:top="851" w:footer="0" w:bottom="1440"/>
          <w:pgNumType w:fmt="decimal"/>
          <w:formProt w:val="false"/>
          <w:textDirection w:val="lrTb"/>
          <w:docGrid w:type="default" w:linePitch="360" w:charSpace="0"/>
        </w:sectPr>
      </w:pP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the Socialists People’s Libyan Arab Jamahiriya</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The Kingdom of Saudi Arabia</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Kuwait</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Brazil</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Angola</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Algeria</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Russia</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Nigeria</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Mozambique</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 xml:space="preserve">Venezuela </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Mexico.</w:t>
      </w:r>
    </w:p>
    <w:p>
      <w:pPr>
        <w:pStyle w:val="Normal"/>
        <w:rPr>
          <w:rFonts w:ascii="Book Antiqua" w:hAnsi="Book Antiqua" w:cs="Book Antiqua"/>
          <w:sz w:val="22"/>
          <w:lang w:val="en-US" w:eastAsia="en-US"/>
        </w:rPr>
      </w:pPr>
      <w:r>
        <w:rPr>
          <w:rFonts w:cs="Book Antiqua" w:ascii="Book Antiqua" w:hAnsi="Book Antiqua"/>
          <w:sz w:val="22"/>
          <w:lang w:val="en-US" w:eastAsia="en-US"/>
        </w:rPr>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Cuba</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Ecuador</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Mexico</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 xml:space="preserve">The United States of America </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Egypt</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Spain</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Tunisia</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India</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Pakistan</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Indonesia</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Morocco</w:t>
      </w:r>
    </w:p>
    <w:p>
      <w:pPr>
        <w:pStyle w:val="Normal"/>
        <w:numPr>
          <w:ilvl w:val="0"/>
          <w:numId w:val="1"/>
        </w:numPr>
        <w:rPr>
          <w:rFonts w:ascii="Book Antiqua" w:hAnsi="Book Antiqua" w:cs="Book Antiqua"/>
          <w:sz w:val="22"/>
          <w:lang w:val="en-US" w:eastAsia="en-US"/>
        </w:rPr>
      </w:pPr>
      <w:r>
        <w:rPr>
          <w:rFonts w:cs="Book Antiqua" w:ascii="Book Antiqua" w:hAnsi="Book Antiqua"/>
          <w:sz w:val="22"/>
          <w:lang w:val="en-US" w:eastAsia="en-US"/>
        </w:rPr>
        <w:t>Italy</w:t>
      </w:r>
    </w:p>
    <w:p>
      <w:pPr>
        <w:pStyle w:val="Normal"/>
        <w:rPr>
          <w:rFonts w:ascii="Book Antiqua" w:hAnsi="Book Antiqua" w:cs="Book Antiqua"/>
          <w:sz w:val="22"/>
          <w:lang w:val="en-US" w:eastAsia="en-US"/>
        </w:rPr>
      </w:pPr>
      <w:r>
        <w:rPr>
          <w:rFonts w:cs="Book Antiqua" w:ascii="Book Antiqua" w:hAnsi="Book Antiqua"/>
          <w:sz w:val="22"/>
          <w:lang w:val="en-US" w:eastAsia="en-US"/>
        </w:rPr>
      </w:r>
    </w:p>
    <w:p>
      <w:pPr>
        <w:sectPr>
          <w:type w:val="continuous"/>
          <w:pgSz w:w="12240" w:h="15840"/>
          <w:pgMar w:left="1800" w:right="1800" w:gutter="0" w:header="0" w:top="851" w:footer="0" w:bottom="1440"/>
          <w:cols w:num="2" w:space="720" w:equalWidth="true" w:sep="false"/>
          <w:formProt w:val="false"/>
          <w:textDirection w:val="lrTb"/>
          <w:docGrid w:type="default" w:linePitch="360" w:charSpace="0"/>
        </w:sectPr>
      </w:pPr>
    </w:p>
    <w:p>
      <w:pPr>
        <w:pStyle w:val="Normal"/>
        <w:rPr/>
      </w:pPr>
      <w:r>
        <w:rPr/>
        <w:t xml:space="preserve">Please call Elizabeth McLaughlin on +44(0)2077046161, Fax + 44(0)2077048440 or email </w:t>
      </w:r>
      <w:hyperlink r:id="rId2">
        <w:r>
          <w:rPr>
            <w:rStyle w:val="Hyperlink"/>
            <w:rFonts w:cs="Book Antiqua" w:ascii="Book Antiqua" w:hAnsi="Book Antiqua"/>
            <w:sz w:val="22"/>
          </w:rPr>
          <w:t>emclaughlin@thecwcgroup.com</w:t>
        </w:r>
      </w:hyperlink>
      <w:r>
        <w:rPr>
          <w:rFonts w:cs="Book Antiqua" w:ascii="Book Antiqua" w:hAnsi="Book Antiqua"/>
          <w:sz w:val="22"/>
          <w:lang w:val="en-US" w:eastAsia="en-US"/>
        </w:rPr>
        <w:t xml:space="preserve"> for details on how we can tailor a package of networking opportunities and strategic intelligence vital to the future growth of your business. </w:t>
      </w:r>
    </w:p>
    <w:sectPr>
      <w:type w:val="continuous"/>
      <w:pgSz w:w="12240" w:h="15840"/>
      <w:pgMar w:left="1800" w:right="1800" w:gutter="0" w:header="0" w:top="851"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smallCaps/>
      <w:sz w:val="28"/>
      <w:lang w:val="en-US"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claughlin@thecwcgroup.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2000-11-27T10:37:00Z</dcterms:created>
  <dc:creator>Jonathan Neale</dc:creator>
  <dc:description/>
  <dc:language>en-CA</dc:language>
  <cp:lastModifiedBy>Tim  Clark</cp:lastModifiedBy>
  <cp:lastPrinted>2000-11-27T11:23:00Z</cp:lastPrinted>
  <dcterms:modified xsi:type="dcterms:W3CDTF">2000-11-27T10:37:00Z</dcterms:modified>
  <cp:revision>2</cp:revision>
  <dc:subject/>
  <dc:title>WELCOME TO CWC GROUP</dc:title>
</cp:coreProperties>
</file>