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sz w:val="18"/>
        </w:rPr>
        <w:t xml:space="preserve"> </w:t>
      </w: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Designated Quantity for a cumulative period of 10 or more days in a 3 month period or (iv)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 the Affected Party fails to establish, maintain, extend or increase a Letter of Credit when required pursuant to this agreement, or after reasonable notice fails to replace the issuing bank with another bank acceptable to the beneficiary or (vi)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Company, Enron Corp. shall have long-term debt unsupported by third party credit enhancement that is rated by Standard &amp; Poor's Corporation below BBB- or  with respect to Customer, in the reasonable opinion of Company, a material change in the creditworthiness, financial condition or ongoing business of Customer that may adversely affect Customer's ability to perform hereunder.</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Cs/>
          <w:sz w:val="18"/>
        </w:rPr>
        <w:t>12.</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 then Company as the Beneficiary Party may request Customer to establish a Letter of Credit as the Account Party in an amount equal to the Termination Payment in excess of $100,000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Cs/>
          <w:sz w:val="16"/>
        </w:rPr>
      </w:pPr>
      <w:r>
        <w:rPr>
          <w:rFonts w:eastAsia="Arial Narrow" w:cs="Arial Narrow" w:ascii="Arial Narrow" w:hAnsi="Arial Narrow"/>
          <w:b/>
          <w:sz w:val="18"/>
        </w:rPr>
        <w:t xml:space="preserve"> </w:t>
      </w: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/mnt/main-storage/datasets/enron-docs/doc/Weirton_Steel.DOC</w:t>
      </w:r>
      <w:r>
        <w:rPr>
          <w:sz w:val="16"/>
          <w:bCs/>
          <w:rFonts w:cs="Arial Narrow" w:ascii="Arial Narrow" w:hAnsi="Arial Narrow"/>
        </w:rPr>
        <w:fldChar w:fldCharType="end"/>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bCs/>
          <w:caps/>
          <w:sz w:val="18"/>
        </w:rPr>
      </w:pPr>
      <w:r>
        <w:rPr>
          <w:rFonts w:cs="Arial Narrow" w:ascii="Arial Narrow" w:hAnsi="Arial Narrow"/>
          <w:bCs/>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2001-03-13T17:30:00Z</dcterms:created>
  <dc:creator>jdobern</dc:creator>
  <dc:description/>
  <dc:language>en-CA</dc:language>
  <cp:lastModifiedBy>dperlin</cp:lastModifiedBy>
  <cp:lastPrinted>2001-03-14T10:40:00Z</cp:lastPrinted>
  <dcterms:modified xsi:type="dcterms:W3CDTF">2001-03-14T14:17:00Z</dcterms:modified>
  <cp:revision>4</cp:revision>
  <dc:subject/>
  <dc:title>ENFOLIO* FIRM GENERAL TERMS &amp; CONDITIONS      </dc:title>
</cp:coreProperties>
</file>