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pPr>
      <w:r>
        <w:rPr>
          <w:rFonts w:cs="Arial Narrow" w:ascii="Arial Narrow" w:hAnsi="Arial Narrow"/>
          <w:sz w:val="18"/>
        </w:rPr>
        <w:t>"</w:t>
      </w:r>
      <w:r>
        <w:rPr>
          <w:rFonts w:cs="Arial Narrow" w:ascii="Arial Narrow" w:hAnsi="Arial Narrow"/>
          <w:b/>
          <w:i/>
          <w:sz w:val="18"/>
          <w:u w:val="single"/>
        </w:rPr>
        <w:t xml:space="preserve">Letter of Credit </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Company, Enron Corp. shall have Long-Term Debt unsupported by third party credit enhancement that is rated by Standard &amp; Poor's Corporation below BBB- or with respect to Customer, Customer shall have Long-Term Debt unsupported by third party credit enhancement that is rated by Standard &amp; Poor's Corporation below B-. </w:t>
      </w:r>
    </w:p>
    <w:p>
      <w:pPr>
        <w:pStyle w:val="Normal"/>
        <w:jc w:val="both"/>
        <w:rPr>
          <w:rFonts w:ascii="Arial Narrow" w:hAnsi="Arial Narrow" w:cs="Arial Narrow"/>
          <w:sz w:val="18"/>
        </w:rPr>
      </w:pPr>
      <w:r>
        <w:rPr>
          <w:rFonts w:cs="Arial Narrow" w:ascii="Arial Narrow" w:hAnsi="Arial Narrow"/>
          <w:b/>
          <w:bCs/>
          <w:i/>
          <w:iCs/>
          <w:sz w:val="18"/>
          <w:u w:val="single"/>
        </w:rPr>
        <w:t>"Long-Term Debt"</w:t>
      </w:r>
      <w:r>
        <w:rPr>
          <w:rFonts w:cs="Arial Narrow" w:ascii="Arial Narrow" w:hAnsi="Arial Narrow"/>
          <w:b/>
          <w:bCs/>
          <w:sz w:val="18"/>
          <w:u w:val="single"/>
        </w:rPr>
        <w:t xml:space="preserve"> </w:t>
      </w:r>
      <w:r>
        <w:rPr>
          <w:rFonts w:cs="Arial" w:ascii="Arial Narrow" w:hAnsi="Arial Narrow"/>
          <w:color w:val="000000"/>
          <w:sz w:val="18"/>
        </w:rPr>
        <w:t>means with respect to Company, Enron Corp.'s 9-5/8% unsecured notes due 2006 and Enron Corp.'s 9-7/8% unsecured notes due 2003 or with respect to Customer, Customer's 10-3/4% unsecured notes due 2005 or Customer's 11-3/8% unsecured notes due 2004.</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Buyer shall prepay Seller twice a month as herein provided.  On the 1st day of each month Seller shall provide Buyer a written statement covering scheduled quantities of gas for the first fifteen days of the month and on the 15</w:t>
      </w:r>
      <w:r>
        <w:rPr>
          <w:rFonts w:cs="Arial Narrow" w:ascii="Arial Narrow" w:hAnsi="Arial Narrow"/>
          <w:sz w:val="18"/>
          <w:vertAlign w:val="superscript"/>
        </w:rPr>
        <w:t>th</w:t>
      </w:r>
      <w:r>
        <w:rPr>
          <w:rFonts w:cs="Arial Narrow" w:ascii="Arial Narrow" w:hAnsi="Arial Narrow"/>
          <w:sz w:val="18"/>
        </w:rPr>
        <w:t xml:space="preserve"> day of each month Seller shall provide Buyer a written statement covering scheduled quantities of gas for the remaining days of the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for the statement covering scheduled quantities for the 1</w:t>
      </w:r>
      <w:r>
        <w:rPr>
          <w:rFonts w:cs="Arial Narrow" w:ascii="Arial Narrow" w:hAnsi="Arial Narrow"/>
          <w:sz w:val="18"/>
          <w:vertAlign w:val="superscript"/>
        </w:rPr>
        <w:t>st</w:t>
      </w:r>
      <w:r>
        <w:rPr>
          <w:rFonts w:cs="Arial Narrow" w:ascii="Arial Narrow" w:hAnsi="Arial Narrow"/>
          <w:sz w:val="18"/>
        </w:rPr>
        <w:t xml:space="preserve"> fifteen days shall be due on the 15</w:t>
      </w:r>
      <w:r>
        <w:rPr>
          <w:rFonts w:cs="Arial Narrow" w:ascii="Arial Narrow" w:hAnsi="Arial Narrow"/>
          <w:sz w:val="18"/>
          <w:vertAlign w:val="superscript"/>
        </w:rPr>
        <w:t>th</w:t>
      </w:r>
      <w:r>
        <w:rPr>
          <w:rFonts w:cs="Arial Narrow" w:ascii="Arial Narrow" w:hAnsi="Arial Narrow"/>
          <w:sz w:val="18"/>
        </w:rPr>
        <w:t xml:space="preserve"> day of the month and all amounts payable under this Firm GTC for the statement covering scheduled quantities for the remainder of the month shall be due on the last day of the month.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reasonably acceptable to the Customer.  For so long as a Triggering Event has not occurred, Company agrees that Company as the Beneficiary Party shall only require Customer as the Account Party to establish a Letter of Credit in an amount equal to the Mark-to-Market value of the Transaction in excess of $100,000; provided, however, if at any time during the term of this Agreement a Triggering Event has occurred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For purposes of this Section, the calculation of “Early Termination Payment” shall include all amounts owed but not yet paid by one Party whether or not such amounts are then due, for performance already provided or to be provided pursuant to any and all Transactions, and the calculation of “Mark-to-Market value” shall include all amounts owed for the value of the Transaction plus amounts owed but not paid for performance already provided pursuant to the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6"/>
        </w:rPr>
      </w:pPr>
      <w:r>
        <w:rPr>
          <w:rFonts w:eastAsia="Arial Narrow" w:cs="Arial Narrow" w:ascii="Arial Narrow" w:hAnsi="Arial Narrow"/>
          <w:b/>
          <w:sz w:val="18"/>
        </w:rPr>
        <w:t xml:space="preserve"> </w:t>
      </w: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/mnt/main-storage/datasets/enron-docs/doc/Weirton_Steel-9f2a0e6782e5fd9762346e9315e0c636b9d53eef44a3e0bb2af9150e7dad38c5.DOC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2001-04-23T14:26:00Z</dcterms:created>
  <dc:creator>jdobern</dc:creator>
  <dc:description/>
  <dc:language>en-CA</dc:language>
  <cp:lastModifiedBy>dperlin</cp:lastModifiedBy>
  <cp:lastPrinted>2001-04-23T16:44:00Z</cp:lastPrinted>
  <dcterms:modified xsi:type="dcterms:W3CDTF">2001-04-23T19:24:00Z</dcterms:modified>
  <cp:revision>5</cp:revision>
  <dc:subject/>
  <dc:title>ENFOLIO* FIRM GENERAL TERMS &amp; CONDITIONS      </dc:title>
</cp:coreProperties>
</file>