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rPr>
          <w:color w:val="000000"/>
          <w:u w:val="single"/>
        </w:rPr>
      </w:pPr>
      <w:r>
        <w:rPr>
          <w:color w:val="000000"/>
          <w:u w:val="single"/>
        </w:rPr>
        <w:t>EGAS Caribbean</w:t>
      </w:r>
    </w:p>
    <w:p>
      <w:pPr>
        <w:pStyle w:val="Normal"/>
        <w:rPr>
          <w:b/>
          <w:color w:val="000000"/>
          <w:u w:val="single"/>
        </w:rPr>
      </w:pPr>
      <w:r>
        <w:rPr>
          <w:b/>
          <w:color w:val="000000"/>
          <w:u w:val="single"/>
        </w:rPr>
      </w:r>
    </w:p>
    <w:p>
      <w:pPr>
        <w:pStyle w:val="Normal"/>
        <w:rPr/>
      </w:pPr>
      <w:r>
        <w:rPr>
          <w:b/>
        </w:rPr>
        <w:t>To:</w:t>
      </w:r>
      <w:r>
        <w:rPr/>
        <w:tab/>
        <w:tab/>
        <w:t>Stanley Horton</w:t>
      </w:r>
    </w:p>
    <w:p>
      <w:pPr>
        <w:pStyle w:val="Normal"/>
        <w:ind w:firstLine="720" w:start="720" w:end="0"/>
        <w:rPr/>
      </w:pPr>
      <w:r>
        <w:rPr/>
        <w:t>Jim Hughes</w:t>
      </w:r>
    </w:p>
    <w:p>
      <w:pPr>
        <w:pStyle w:val="Normal"/>
        <w:rPr/>
      </w:pPr>
      <w:r>
        <w:rPr/>
        <w:tab/>
        <w:tab/>
      </w:r>
    </w:p>
    <w:p>
      <w:pPr>
        <w:pStyle w:val="Normal"/>
        <w:rPr/>
      </w:pPr>
      <w:r>
        <w:rPr>
          <w:b/>
        </w:rPr>
        <w:t>From:</w:t>
      </w:r>
      <w:r>
        <w:rPr/>
        <w:tab/>
        <w:tab/>
        <w:t>Mariella Mahan</w:t>
      </w:r>
    </w:p>
    <w:p>
      <w:pPr>
        <w:pStyle w:val="Header"/>
        <w:tabs>
          <w:tab w:val="clear" w:pos="4320"/>
          <w:tab w:val="clear" w:pos="8640"/>
        </w:tabs>
        <w:rPr>
          <w:szCs w:val="24"/>
        </w:rPr>
      </w:pPr>
      <w:r>
        <w:rPr>
          <w:szCs w:val="24"/>
        </w:rPr>
      </w:r>
    </w:p>
    <w:p>
      <w:pPr>
        <w:pStyle w:val="Normal"/>
        <w:rPr/>
      </w:pPr>
      <w:r>
        <w:rPr>
          <w:b/>
        </w:rPr>
        <w:t>Date:</w:t>
      </w:r>
      <w:r>
        <w:rPr/>
        <w:tab/>
        <w:tab/>
        <w:t>October 21, 2001</w:t>
      </w:r>
    </w:p>
    <w:p>
      <w:pPr>
        <w:pStyle w:val="Header"/>
        <w:tabs>
          <w:tab w:val="clear" w:pos="4320"/>
          <w:tab w:val="clear" w:pos="8640"/>
        </w:tabs>
        <w:rPr>
          <w:szCs w:val="24"/>
        </w:rPr>
      </w:pPr>
      <w:r>
        <w:rPr>
          <w:szCs w:val="24"/>
        </w:rPr>
      </w:r>
    </w:p>
    <w:p>
      <w:pPr>
        <w:pStyle w:val="Normal"/>
        <w:rPr/>
      </w:pPr>
      <w:r>
        <w:rPr>
          <w:b/>
        </w:rPr>
        <w:t>Re:</w:t>
      </w:r>
      <w:r>
        <w:rPr/>
        <w:tab/>
        <w:tab/>
        <w:t>Weekly Status Report</w:t>
      </w:r>
    </w:p>
    <w:p>
      <w:pPr>
        <w:pStyle w:val="Normal"/>
        <w:pBdr>
          <w:bottom w:val="single" w:sz="4" w:space="0" w:color="000000"/>
        </w:pBdr>
        <w:ind w:firstLine="720" w:end="0"/>
        <w:rPr>
          <w:sz w:val="20"/>
        </w:rPr>
      </w:pPr>
      <w:r>
        <w:rPr>
          <w:sz w:val="20"/>
        </w:rPr>
      </w:r>
    </w:p>
    <w:p>
      <w:pPr>
        <w:pStyle w:val="Heading1"/>
        <w:ind w:hanging="0" w:end="0"/>
        <w:jc w:val="both"/>
        <w:rPr>
          <w:sz w:val="20"/>
        </w:rPr>
      </w:pPr>
      <w:r>
        <w:rPr>
          <w:sz w:val="20"/>
        </w:rPr>
      </w:r>
    </w:p>
    <w:p>
      <w:pPr>
        <w:pStyle w:val="Heading1"/>
        <w:ind w:hanging="0" w:end="0"/>
        <w:jc w:val="both"/>
        <w:rPr/>
      </w:pPr>
      <w:r>
        <w:rPr/>
        <w:t>VENEZUELA</w:t>
      </w:r>
    </w:p>
    <w:p>
      <w:pPr>
        <w:pStyle w:val="Normal"/>
        <w:jc w:val="both"/>
        <w:rPr/>
      </w:pPr>
      <w:r>
        <w:rPr/>
      </w:r>
    </w:p>
    <w:p>
      <w:pPr>
        <w:pStyle w:val="Heading2"/>
        <w:ind w:hanging="0" w:start="0"/>
        <w:jc w:val="both"/>
        <w:rPr>
          <w:sz w:val="24"/>
          <w:u w:val="single"/>
        </w:rPr>
      </w:pPr>
      <w:r>
        <w:rPr>
          <w:sz w:val="24"/>
          <w:u w:val="single"/>
        </w:rPr>
        <w:t>ACCROVEN</w:t>
      </w:r>
    </w:p>
    <w:p>
      <w:pPr>
        <w:pStyle w:val="Normal"/>
        <w:numPr>
          <w:ilvl w:val="0"/>
          <w:numId w:val="5"/>
        </w:numPr>
        <w:rPr>
          <w:b/>
          <w:bCs/>
        </w:rPr>
      </w:pPr>
      <w:r>
        <w:rPr>
          <w:b/>
          <w:bCs/>
        </w:rPr>
        <w:t>Commercial Issues:</w:t>
      </w:r>
    </w:p>
    <w:p>
      <w:pPr>
        <w:pStyle w:val="Normal"/>
        <w:numPr>
          <w:ilvl w:val="0"/>
          <w:numId w:val="15"/>
        </w:numPr>
        <w:jc w:val="both"/>
        <w:rPr/>
      </w:pPr>
      <w:r>
        <w:rPr/>
        <w:t>Unfortunately no progress was made regarding the Refrigeration and Storage tariff issue.  The PDVSA Gas team has lost focus due to the presumed conversion of the company into a holding within the Ministry of Energy and Mines, and employees at all levels  (both salaried payrolls and staff) have been striking.  This has been particularly disruptive in trying to close the issues around the Refrigeration and Storage area.</w:t>
      </w:r>
    </w:p>
    <w:p>
      <w:pPr>
        <w:pStyle w:val="Heading7"/>
        <w:ind w:hanging="0" w:start="0"/>
        <w:rPr/>
      </w:pPr>
      <w:r>
        <w:rPr/>
      </w:r>
    </w:p>
    <w:p>
      <w:pPr>
        <w:pStyle w:val="Heading7"/>
        <w:ind w:hanging="0" w:start="0"/>
        <w:rPr/>
      </w:pPr>
      <w:r>
        <w:rPr/>
        <w:t>VENGAS</w:t>
      </w:r>
    </w:p>
    <w:p>
      <w:pPr>
        <w:pStyle w:val="Heading2"/>
        <w:numPr>
          <w:ilvl w:val="0"/>
          <w:numId w:val="9"/>
        </w:numPr>
        <w:jc w:val="both"/>
        <w:rPr>
          <w:b w:val="false"/>
          <w:sz w:val="24"/>
        </w:rPr>
      </w:pPr>
      <w:r>
        <w:rPr>
          <w:bCs/>
          <w:sz w:val="24"/>
        </w:rPr>
        <w:t>LPG Tariff Increase:</w:t>
      </w:r>
      <w:r>
        <w:rPr>
          <w:b w:val="false"/>
          <w:sz w:val="24"/>
        </w:rPr>
        <w:t xml:space="preserve">  No new developments regarding the tariff increase. </w:t>
      </w:r>
    </w:p>
    <w:p>
      <w:pPr>
        <w:pStyle w:val="Heading2"/>
        <w:numPr>
          <w:ilvl w:val="0"/>
          <w:numId w:val="9"/>
        </w:numPr>
        <w:jc w:val="both"/>
        <w:rPr>
          <w:b w:val="false"/>
          <w:sz w:val="24"/>
        </w:rPr>
      </w:pPr>
      <w:r>
        <w:rPr>
          <w:bCs/>
          <w:sz w:val="24"/>
        </w:rPr>
        <w:t>Gas Supply:</w:t>
      </w:r>
      <w:r>
        <w:rPr>
          <w:b w:val="false"/>
          <w:sz w:val="24"/>
        </w:rPr>
        <w:t xml:space="preserve"> The PDVSA Gas supply situation is back to normal.   </w:t>
      </w:r>
    </w:p>
    <w:p>
      <w:pPr>
        <w:pStyle w:val="Normal"/>
        <w:numPr>
          <w:ilvl w:val="0"/>
          <w:numId w:val="4"/>
        </w:numPr>
        <w:jc w:val="both"/>
        <w:rPr/>
      </w:pPr>
      <w:r>
        <w:rPr>
          <w:b/>
          <w:bCs/>
        </w:rPr>
        <w:t>Fiber Optic Project:</w:t>
      </w:r>
      <w:r>
        <w:rPr/>
        <w:t xml:space="preserve"> PDVSA Gas team is just waiting for the authorization from the Ministry of Energy and Mines, in order to continue with fiber optic project. </w:t>
      </w:r>
    </w:p>
    <w:p>
      <w:pPr>
        <w:pStyle w:val="Heading7"/>
        <w:ind w:hanging="0" w:start="0"/>
        <w:rPr/>
      </w:pPr>
      <w:r>
        <w:rPr/>
      </w:r>
    </w:p>
    <w:p>
      <w:pPr>
        <w:pStyle w:val="Heading7"/>
        <w:ind w:hanging="0" w:start="0"/>
        <w:rPr/>
      </w:pPr>
      <w:r>
        <w:rPr/>
        <w:t>CALIFE</w:t>
      </w:r>
    </w:p>
    <w:p>
      <w:pPr>
        <w:pStyle w:val="Normal"/>
        <w:numPr>
          <w:ilvl w:val="0"/>
          <w:numId w:val="2"/>
        </w:numPr>
        <w:jc w:val="both"/>
        <w:rPr/>
      </w:pPr>
      <w:r>
        <w:rPr>
          <w:b/>
          <w:bCs/>
        </w:rPr>
        <w:t xml:space="preserve">Collection Efforts: </w:t>
      </w:r>
      <w:r>
        <w:rPr/>
        <w:t>Special external</w:t>
      </w:r>
      <w:r>
        <w:rPr>
          <w:b/>
          <w:bCs/>
        </w:rPr>
        <w:t xml:space="preserve"> </w:t>
      </w:r>
      <w:r>
        <w:rPr/>
        <w:t xml:space="preserve">audits of the debts of both municipality of Puerto Cabello and Morón continues, and we estimate that they will be concluded by the end of October 2001.  The intent of the audit is to have certification of the debt.  Aim is to use this certified debt to trigger a “payment in kind” (with assets of municipality) and/or a special one time payment with assistance from funds set aside by the Venezuelan Investment Fund and/or the Ministry of Energy and Mines.  </w:t>
      </w:r>
    </w:p>
    <w:p>
      <w:pPr>
        <w:pStyle w:val="Normal"/>
        <w:autoSpaceDE w:val="false"/>
        <w:rPr>
          <w:b/>
          <w:bCs/>
          <w:sz w:val="28"/>
          <w:szCs w:val="28"/>
          <w:u w:val="single"/>
        </w:rPr>
      </w:pPr>
      <w:r>
        <w:rPr>
          <w:b/>
          <w:bCs/>
          <w:sz w:val="28"/>
          <w:szCs w:val="28"/>
          <w:u w:val="single"/>
        </w:rPr>
      </w:r>
    </w:p>
    <w:p>
      <w:pPr>
        <w:pStyle w:val="Normal"/>
        <w:autoSpaceDE w:val="false"/>
        <w:rPr/>
      </w:pPr>
      <w:r>
        <w:rPr>
          <w:b/>
          <w:bCs/>
          <w:sz w:val="28"/>
          <w:szCs w:val="28"/>
          <w:u w:val="single"/>
        </w:rPr>
        <w:t>PUERTO RICO</w:t>
      </w:r>
      <w:r>
        <w:rPr>
          <w:b/>
          <w:bCs/>
        </w:rPr>
        <w:t xml:space="preserve"> </w:t>
      </w:r>
    </w:p>
    <w:p>
      <w:pPr>
        <w:pStyle w:val="Normal"/>
        <w:autoSpaceDE w:val="false"/>
        <w:rPr>
          <w:b/>
          <w:bCs/>
          <w:u w:val="single"/>
        </w:rPr>
      </w:pPr>
      <w:r>
        <w:rPr>
          <w:b/>
          <w:bCs/>
          <w:u w:val="single"/>
        </w:rPr>
      </w:r>
    </w:p>
    <w:p>
      <w:pPr>
        <w:pStyle w:val="Normal"/>
        <w:autoSpaceDE w:val="false"/>
        <w:rPr>
          <w:b/>
          <w:bCs/>
          <w:u w:val="single"/>
        </w:rPr>
      </w:pPr>
      <w:r>
        <w:rPr>
          <w:b/>
          <w:bCs/>
          <w:u w:val="single"/>
        </w:rPr>
        <w:t>ECOELECTRICA (ECO)</w:t>
      </w:r>
    </w:p>
    <w:p>
      <w:pPr>
        <w:pStyle w:val="Normal"/>
        <w:tabs>
          <w:tab w:val="clear" w:pos="720"/>
          <w:tab w:val="left" w:pos="360" w:leader="none"/>
        </w:tabs>
        <w:autoSpaceDE w:val="false"/>
        <w:ind w:hanging="360" w:end="0"/>
        <w:rPr/>
      </w:pPr>
      <w:r>
        <w:rPr>
          <w:rFonts w:cs="Symbol" w:ascii="Symbol" w:hAnsi="Symbol"/>
        </w:rPr>
        <w:tab/>
        <w:t></w:t>
        <w:tab/>
      </w:r>
      <w:r>
        <w:rPr>
          <w:b/>
          <w:bCs/>
        </w:rPr>
        <w:t xml:space="preserve">Sales Process:  </w:t>
      </w:r>
    </w:p>
    <w:p>
      <w:pPr>
        <w:pStyle w:val="Normal"/>
        <w:numPr>
          <w:ilvl w:val="0"/>
          <w:numId w:val="3"/>
        </w:numPr>
        <w:ind w:hanging="360" w:start="720" w:end="720"/>
        <w:rPr/>
      </w:pPr>
      <w:r>
        <w:rPr>
          <w:color w:val="000000"/>
        </w:rPr>
        <w:t xml:space="preserve">GE:  Tax representatives of Mirant and GE have arrived at a </w:t>
      </w:r>
      <w:r>
        <w:rPr>
          <w:szCs w:val="20"/>
        </w:rPr>
        <w:t>solution for the tax concern/problem</w:t>
      </w:r>
      <w:r>
        <w:rPr/>
        <w:t>.  Sign-off pending from commercial team</w:t>
      </w:r>
      <w:r>
        <w:rPr>
          <w:szCs w:val="20"/>
        </w:rPr>
        <w:t> - no issues expected</w:t>
      </w:r>
      <w:r>
        <w:rPr/>
        <w:t xml:space="preserve">, </w:t>
      </w:r>
    </w:p>
    <w:p>
      <w:pPr>
        <w:pStyle w:val="Normal"/>
        <w:numPr>
          <w:ilvl w:val="0"/>
          <w:numId w:val="3"/>
        </w:numPr>
        <w:ind w:hanging="360" w:start="720" w:end="720"/>
        <w:rPr/>
      </w:pPr>
      <w:r>
        <w:rPr/>
        <w:t>Lenders:  Lenders’ engineer package sent to the syndicate of banks (24 in total) so that they can get ready for credit committee presentations.  In addition, lenders and Mirant/ENE </w:t>
      </w:r>
      <w:r>
        <w:rPr>
          <w:szCs w:val="20"/>
        </w:rPr>
        <w:t>held a call to </w:t>
      </w:r>
      <w:r>
        <w:rPr/>
        <w:t>formally kick-off lender approval process (call is aimed at providing lenders with opportunity to hear about Mirant’s strategy for Eco)</w:t>
      </w:r>
      <w:r>
        <w:rPr>
          <w:szCs w:val="20"/>
        </w:rPr>
        <w:t>.  Additional requests have been made by the lenders and have been addressed appropriately - one outstanding item related to QF concern to be resolved this week - no issues expected</w:t>
      </w:r>
      <w:r>
        <w:rPr/>
        <w:t xml:space="preserve">,  </w:t>
      </w:r>
    </w:p>
    <w:p>
      <w:pPr>
        <w:pStyle w:val="Normal"/>
        <w:numPr>
          <w:ilvl w:val="0"/>
          <w:numId w:val="3"/>
        </w:numPr>
        <w:ind w:hanging="360" w:start="720" w:end="720"/>
        <w:rPr/>
      </w:pPr>
      <w:r>
        <w:rPr/>
        <w:t>Insurance:  Mirant continues to work on the renewal (including incorporation of Eco into it) of its corporate policy, effective November 1</w:t>
      </w:r>
      <w:r>
        <w:rPr>
          <w:vertAlign w:val="superscript"/>
        </w:rPr>
        <w:t>st</w:t>
      </w:r>
      <w:r>
        <w:rPr/>
        <w:t xml:space="preserve">; no issues expected.  Mission and ENE team had a meeting with the CPA and adjuster to discuss existing claims, objective was to try to settle all claims at the meeting.  </w:t>
      </w:r>
      <w:r>
        <w:rPr>
          <w:szCs w:val="20"/>
        </w:rPr>
        <w:t>Methodology was agreed upon with the adjuster and CPA.  The adjuster planned on taking the claim to the underwriter in mid October.  Unfortunately, due to serious medical complications, he was unable to do so.  Nevertheless, back-up plan exists.  Assuming no additional problems, adjuster will present the claim from Houston and follow-up in early November.  Strategy and next steps on the 6</w:t>
      </w:r>
      <w:r>
        <w:rPr>
          <w:szCs w:val="20"/>
          <w:vertAlign w:val="superscript"/>
        </w:rPr>
        <w:t>th</w:t>
      </w:r>
      <w:r>
        <w:rPr>
          <w:szCs w:val="20"/>
        </w:rPr>
        <w:t xml:space="preserve"> claim continue to be reviewed.    </w:t>
      </w:r>
    </w:p>
    <w:p>
      <w:pPr>
        <w:pStyle w:val="Normal"/>
        <w:numPr>
          <w:ilvl w:val="0"/>
          <w:numId w:val="3"/>
        </w:numPr>
        <w:ind w:hanging="360" w:start="720" w:end="720"/>
        <w:rPr/>
      </w:pPr>
      <w:r>
        <w:rPr/>
        <w:t>PREPA submitted response to Eco's proposed arbitration agreement (to settle Nymex issue: issue deals with disagreement over the base Nymex year for purposes of energy cost indexation).  PREPA has provided comments to the agreement and has alternatively proposed that Eco and PREPA “split” their differences by either paying PREPA upfront (amount way out of commercially reasonable range) or having the parties “split” the base year differences going forward.  Eco is reviewing</w:t>
      </w:r>
      <w:r>
        <w:rPr>
          <w:szCs w:val="20"/>
        </w:rPr>
        <w:t xml:space="preserve"> and analyzing </w:t>
      </w:r>
      <w:r>
        <w:rPr/>
        <w:t xml:space="preserve">the proposed comments to the agreement and will soon determine next steps.  </w:t>
      </w:r>
    </w:p>
    <w:p>
      <w:pPr>
        <w:pStyle w:val="Normal"/>
        <w:tabs>
          <w:tab w:val="clear" w:pos="720"/>
          <w:tab w:val="left" w:pos="360" w:leader="none"/>
        </w:tabs>
        <w:autoSpaceDE w:val="false"/>
        <w:ind w:start="360" w:end="0"/>
        <w:jc w:val="both"/>
        <w:rPr/>
      </w:pPr>
      <w:r>
        <w:rPr/>
      </w:r>
    </w:p>
    <w:p>
      <w:pPr>
        <w:pStyle w:val="Heading2"/>
        <w:ind w:hanging="0" w:start="0"/>
        <w:jc w:val="both"/>
        <w:rPr>
          <w:sz w:val="24"/>
          <w:u w:val="single"/>
        </w:rPr>
      </w:pPr>
      <w:r>
        <w:rPr>
          <w:sz w:val="24"/>
          <w:u w:val="single"/>
        </w:rPr>
        <w:t>PROCARIBE</w:t>
      </w:r>
    </w:p>
    <w:p>
      <w:pPr>
        <w:pStyle w:val="Normal"/>
        <w:numPr>
          <w:ilvl w:val="0"/>
          <w:numId w:val="6"/>
        </w:numPr>
        <w:jc w:val="both"/>
        <w:rPr>
          <w:u w:val="single"/>
        </w:rPr>
      </w:pPr>
      <w:r>
        <w:rPr>
          <w:b/>
          <w:bCs/>
        </w:rPr>
        <w:t xml:space="preserve">Transportation and Storage (LPG) Project with PDVSA:  No Changes - </w:t>
      </w:r>
      <w:r>
        <w:rPr/>
        <w:t xml:space="preserve">The team continues working with PDVSA and Empire Gas Company in order to be able to close the deal before the end of the year. </w:t>
      </w:r>
      <w:r>
        <w:rPr>
          <w:b/>
          <w:bCs/>
        </w:rPr>
        <w:t xml:space="preserve">  </w:t>
      </w:r>
      <w:r>
        <w:rPr/>
        <w:t xml:space="preserve">  </w:t>
      </w:r>
    </w:p>
    <w:p>
      <w:pPr>
        <w:pStyle w:val="Normal"/>
        <w:jc w:val="both"/>
        <w:rPr>
          <w:b/>
          <w:bCs/>
          <w:u w:val="single"/>
        </w:rPr>
      </w:pPr>
      <w:r>
        <w:rPr>
          <w:b/>
          <w:bCs/>
          <w:u w:val="single"/>
        </w:rPr>
      </w:r>
    </w:p>
    <w:p>
      <w:pPr>
        <w:pStyle w:val="Normal"/>
        <w:jc w:val="both"/>
        <w:rPr>
          <w:b/>
          <w:bCs/>
          <w:u w:val="single"/>
        </w:rPr>
      </w:pPr>
      <w:r>
        <w:rPr>
          <w:b/>
          <w:bCs/>
          <w:u w:val="single"/>
        </w:rPr>
        <w:t>SAN JUAN GAS (“SJG”)</w:t>
      </w:r>
    </w:p>
    <w:p>
      <w:pPr>
        <w:pStyle w:val="Normal"/>
        <w:numPr>
          <w:ilvl w:val="0"/>
          <w:numId w:val="16"/>
        </w:numPr>
        <w:jc w:val="both"/>
        <w:rPr/>
      </w:pPr>
      <w:r>
        <w:rPr>
          <w:b/>
          <w:bCs/>
        </w:rPr>
        <w:t xml:space="preserve">Fiber Optic: </w:t>
      </w:r>
      <w:r>
        <w:rPr/>
        <w:t>The EGA team continues working with EBS representatives in order to complete the construction and commercialization of the fiber optic project.  EBS team indicated that the new target date to complete the construction would be November 19</w:t>
      </w:r>
      <w:r>
        <w:rPr>
          <w:vertAlign w:val="superscript"/>
        </w:rPr>
        <w:t>th</w:t>
      </w:r>
      <w:r>
        <w:rPr/>
        <w:t>.  Regarding the marketing process, the team is now preparing the data room and we are expecting the formal visits from potential buyer between October 29</w:t>
      </w:r>
      <w:r>
        <w:rPr>
          <w:vertAlign w:val="superscript"/>
        </w:rPr>
        <w:t>th</w:t>
      </w:r>
      <w:r>
        <w:rPr/>
        <w:t xml:space="preserve"> and   November 9</w:t>
      </w:r>
      <w:r>
        <w:rPr>
          <w:vertAlign w:val="superscript"/>
        </w:rPr>
        <w:t>th</w:t>
      </w:r>
      <w:r>
        <w:rPr/>
        <w:t xml:space="preserve">.   </w:t>
      </w:r>
    </w:p>
    <w:p>
      <w:pPr>
        <w:pStyle w:val="Normal"/>
        <w:numPr>
          <w:ilvl w:val="0"/>
          <w:numId w:val="16"/>
        </w:numPr>
        <w:jc w:val="both"/>
        <w:rPr/>
      </w:pPr>
      <w:r>
        <w:rPr>
          <w:b/>
          <w:bCs/>
        </w:rPr>
        <w:t>Collection Efforts:</w:t>
      </w:r>
      <w:r>
        <w:rPr/>
        <w:t xml:space="preserve"> </w:t>
      </w:r>
      <w:r>
        <w:rPr>
          <w:b/>
          <w:bCs/>
        </w:rPr>
        <w:t xml:space="preserve">No Changes - </w:t>
      </w:r>
      <w:r>
        <w:rPr/>
        <w:t>The team continues the Collection efforts of all the outstanding accounts receivables ($3.8MM over 90 days transferred to SJG from Progasco).</w:t>
      </w:r>
    </w:p>
    <w:p>
      <w:pPr>
        <w:pStyle w:val="Heading2"/>
        <w:ind w:hanging="0" w:start="0"/>
        <w:jc w:val="both"/>
        <w:rPr>
          <w:sz w:val="28"/>
          <w:u w:val="single"/>
        </w:rPr>
      </w:pPr>
      <w:r>
        <w:rPr>
          <w:sz w:val="28"/>
          <w:u w:val="single"/>
        </w:rPr>
      </w:r>
    </w:p>
    <w:p>
      <w:pPr>
        <w:pStyle w:val="Heading2"/>
        <w:ind w:hanging="0" w:start="0"/>
        <w:jc w:val="both"/>
        <w:rPr>
          <w:sz w:val="28"/>
          <w:u w:val="single"/>
        </w:rPr>
      </w:pPr>
      <w:r>
        <w:rPr>
          <w:sz w:val="28"/>
          <w:u w:val="single"/>
        </w:rPr>
        <w:t>COLOMBIA</w:t>
      </w:r>
    </w:p>
    <w:p>
      <w:pPr>
        <w:pStyle w:val="Heading2"/>
        <w:ind w:hanging="0" w:start="0"/>
        <w:jc w:val="both"/>
        <w:rPr>
          <w:sz w:val="24"/>
          <w:u w:val="single"/>
        </w:rPr>
      </w:pPr>
      <w:r>
        <w:rPr>
          <w:sz w:val="24"/>
          <w:u w:val="single"/>
        </w:rPr>
      </w:r>
    </w:p>
    <w:p>
      <w:pPr>
        <w:pStyle w:val="Heading2"/>
        <w:ind w:hanging="0" w:start="0"/>
        <w:jc w:val="both"/>
        <w:rPr>
          <w:sz w:val="24"/>
          <w:u w:val="single"/>
        </w:rPr>
      </w:pPr>
      <w:r>
        <w:rPr>
          <w:sz w:val="24"/>
          <w:u w:val="single"/>
        </w:rPr>
        <w:t>CENTRAGAS</w:t>
      </w:r>
    </w:p>
    <w:p>
      <w:pPr>
        <w:pStyle w:val="Normal"/>
        <w:numPr>
          <w:ilvl w:val="0"/>
          <w:numId w:val="14"/>
        </w:numPr>
        <w:tabs>
          <w:tab w:val="clear" w:pos="720"/>
          <w:tab w:val="left" w:pos="0" w:leader="none"/>
        </w:tabs>
        <w:ind w:hanging="360" w:start="360" w:end="0"/>
        <w:jc w:val="both"/>
        <w:rPr/>
      </w:pPr>
      <w:r>
        <w:rPr>
          <w:b/>
          <w:bCs/>
        </w:rPr>
        <w:t xml:space="preserve">Arbitration against Ecogas:  No Changes - </w:t>
      </w:r>
      <w:r>
        <w:rPr/>
        <w:t>The team continues with the arbitration process.  However, DIAN (the local IRS) has just issued a new concept/interpretation regarding the application of Decree 2585.  This concept revokes all prior concepts issued by DIAN, and its conclusion is that the Decree is not applicable to Centragas.  We are now analyzing the effects to be entered this year without the decree.  We have proposed to settle with</w:t>
      </w:r>
      <w:r>
        <w:rPr>
          <w:b/>
          <w:bCs/>
        </w:rPr>
        <w:t xml:space="preserve"> </w:t>
      </w:r>
      <w:r>
        <w:rPr/>
        <w:t>Ecogas, but they will</w:t>
      </w:r>
      <w:r>
        <w:rPr>
          <w:b/>
          <w:bCs/>
        </w:rPr>
        <w:t xml:space="preserve"> </w:t>
      </w:r>
      <w:r>
        <w:rPr/>
        <w:t xml:space="preserve">keep us economically whole and they must assume the risk of collection from DIAN.   We are expecting Ecogas to respond shortly.  We will advise as soon as we have all the possible impacts including the change of 1999 and 2000 tax returns, the reversal of the accrual in Enron’s books, and the necessary adjustment for the year 2001. </w:t>
      </w:r>
    </w:p>
    <w:p>
      <w:pPr>
        <w:pStyle w:val="Normal"/>
        <w:numPr>
          <w:ilvl w:val="0"/>
          <w:numId w:val="10"/>
        </w:numPr>
        <w:jc w:val="both"/>
        <w:rPr/>
      </w:pPr>
      <w:r>
        <w:rPr>
          <w:b/>
          <w:bCs/>
        </w:rPr>
        <w:t xml:space="preserve">Background information:  </w:t>
      </w:r>
      <w:r>
        <w:rPr/>
        <w:t xml:space="preserve">The team filed the arbitration against Ecogas to enforce the change in law protections in the BOTM contract with Ecogas.  The objective is to recover the additional tax burden imposed on Centragas by Decree 2585 for the amount of approximately $3.9MM related to 1999 and 2000.  </w:t>
      </w:r>
    </w:p>
    <w:p>
      <w:pPr>
        <w:pStyle w:val="Normal"/>
        <w:ind w:start="720" w:end="0"/>
        <w:jc w:val="both"/>
        <w:rPr/>
      </w:pPr>
      <w:r>
        <w:rPr/>
      </w:r>
    </w:p>
    <w:p>
      <w:pPr>
        <w:pStyle w:val="Heading7"/>
        <w:ind w:hanging="0" w:start="0"/>
        <w:rPr/>
      </w:pPr>
      <w:r>
        <w:rPr>
          <w:bCs/>
          <w:szCs w:val="24"/>
        </w:rPr>
        <w:t>PROMIGAS</w:t>
      </w:r>
      <w:r>
        <w:rPr>
          <w:b w:val="false"/>
          <w:szCs w:val="24"/>
          <w:u w:val="none"/>
        </w:rPr>
        <w:t xml:space="preserve">  </w:t>
      </w:r>
    </w:p>
    <w:p>
      <w:pPr>
        <w:pStyle w:val="Heading7"/>
        <w:numPr>
          <w:ilvl w:val="0"/>
          <w:numId w:val="12"/>
        </w:numPr>
        <w:rPr>
          <w:b w:val="false"/>
          <w:szCs w:val="24"/>
          <w:u w:val="none"/>
        </w:rPr>
      </w:pPr>
      <w:r>
        <w:rPr>
          <w:b w:val="false"/>
          <w:szCs w:val="24"/>
          <w:u w:val="none"/>
        </w:rPr>
        <w:t>The next board meeting is scheduled for October 26</w:t>
      </w:r>
      <w:r>
        <w:rPr>
          <w:b w:val="false"/>
          <w:szCs w:val="24"/>
          <w:u w:val="none"/>
          <w:vertAlign w:val="superscript"/>
        </w:rPr>
        <w:t>th</w:t>
      </w:r>
      <w:r>
        <w:rPr>
          <w:b w:val="false"/>
          <w:szCs w:val="24"/>
          <w:u w:val="none"/>
        </w:rPr>
        <w:t xml:space="preserve">  to be held in Houston.   </w:t>
      </w:r>
    </w:p>
    <w:p>
      <w:pPr>
        <w:pStyle w:val="Normal"/>
        <w:autoSpaceDE w:val="false"/>
        <w:spacing w:lineRule="atLeast" w:line="240"/>
        <w:jc w:val="both"/>
        <w:rPr>
          <w:b/>
          <w:szCs w:val="24"/>
          <w:u w:val="none"/>
        </w:rPr>
      </w:pPr>
      <w:r>
        <w:rPr>
          <w:b/>
          <w:szCs w:val="24"/>
          <w:u w:val="none"/>
        </w:rPr>
      </w:r>
    </w:p>
    <w:p>
      <w:pPr>
        <w:pStyle w:val="Normal"/>
        <w:autoSpaceDE w:val="false"/>
        <w:spacing w:lineRule="atLeast" w:line="240"/>
        <w:jc w:val="both"/>
        <w:rPr>
          <w:b/>
          <w:bCs/>
          <w:sz w:val="28"/>
          <w:szCs w:val="28"/>
          <w:u w:val="single"/>
        </w:rPr>
      </w:pPr>
      <w:r>
        <w:rPr>
          <w:b/>
          <w:bCs/>
          <w:sz w:val="28"/>
          <w:szCs w:val="28"/>
          <w:u w:val="single"/>
        </w:rPr>
        <w:t>PANAMA</w:t>
      </w:r>
    </w:p>
    <w:p>
      <w:pPr>
        <w:pStyle w:val="Normal"/>
        <w:keepNext w:val="true"/>
        <w:autoSpaceDE w:val="false"/>
        <w:spacing w:lineRule="atLeast" w:line="240"/>
        <w:ind w:start="360" w:end="0"/>
        <w:jc w:val="both"/>
        <w:rPr>
          <w:b/>
          <w:bCs/>
          <w:sz w:val="28"/>
          <w:szCs w:val="28"/>
          <w:u w:val="single"/>
        </w:rPr>
      </w:pPr>
      <w:r>
        <w:rPr>
          <w:b/>
          <w:bCs/>
          <w:sz w:val="28"/>
          <w:szCs w:val="28"/>
          <w:u w:val="single"/>
        </w:rPr>
      </w:r>
    </w:p>
    <w:p>
      <w:pPr>
        <w:pStyle w:val="Normal"/>
        <w:keepNext w:val="true"/>
        <w:autoSpaceDE w:val="false"/>
        <w:spacing w:lineRule="atLeast" w:line="240"/>
        <w:jc w:val="both"/>
        <w:rPr>
          <w:b/>
          <w:bCs/>
          <w:u w:val="single"/>
        </w:rPr>
      </w:pPr>
      <w:r>
        <w:rPr>
          <w:b/>
          <w:bCs/>
          <w:u w:val="single"/>
        </w:rPr>
        <w:t>BLM</w:t>
      </w:r>
    </w:p>
    <w:p>
      <w:pPr>
        <w:pStyle w:val="Normal"/>
        <w:numPr>
          <w:ilvl w:val="0"/>
          <w:numId w:val="7"/>
        </w:numPr>
        <w:tabs>
          <w:tab w:val="clear" w:pos="720"/>
          <w:tab w:val="left" w:pos="360" w:leader="none"/>
        </w:tabs>
        <w:autoSpaceDE w:val="false"/>
        <w:spacing w:lineRule="atLeast" w:line="240"/>
        <w:jc w:val="both"/>
        <w:rPr/>
      </w:pPr>
      <w:r>
        <w:rPr>
          <w:b/>
          <w:bCs/>
        </w:rPr>
        <w:t>Sale-Buy Back of San Francisco Land:</w:t>
      </w:r>
      <w:r>
        <w:rPr/>
        <w:t xml:space="preserve">  KPMG has indicated possible structures that could be off balance sheet, using EIPSA as a vehicle.  But they require further legal and accounting due diligence under Panamanian Law.</w:t>
      </w:r>
    </w:p>
    <w:p>
      <w:pPr>
        <w:pStyle w:val="Normal"/>
        <w:numPr>
          <w:ilvl w:val="0"/>
          <w:numId w:val="7"/>
        </w:numPr>
        <w:autoSpaceDE w:val="false"/>
        <w:spacing w:lineRule="atLeast" w:line="240"/>
        <w:rPr>
          <w:rFonts w:ascii="Helv;Arial" w:hAnsi="Helv;Arial" w:cs="Helv;Arial"/>
        </w:rPr>
      </w:pPr>
      <w:r>
        <w:rPr>
          <w:b/>
          <w:bCs/>
        </w:rPr>
        <w:t>Cash Situation:</w:t>
      </w:r>
      <w:r>
        <w:rPr/>
        <w:t xml:space="preserve">  The situation is still critical.  Team is monitoring this on a weekly basis.  Underwriter's external counsel has issued a report, full of misstatements, raising doubts about the validity of our claim.  Possibility of collecting in the $1.5 MM advance payment recommended by the adjuster is almost nil.  As per Enron’s Legal and Risk Management groups, legal action against the underwriters is being evaluated.</w:t>
      </w:r>
    </w:p>
    <w:p>
      <w:pPr>
        <w:pStyle w:val="Normal"/>
        <w:numPr>
          <w:ilvl w:val="0"/>
          <w:numId w:val="7"/>
        </w:numPr>
        <w:tabs>
          <w:tab w:val="clear" w:pos="720"/>
          <w:tab w:val="left" w:pos="360" w:leader="none"/>
          <w:tab w:val="left" w:pos="1800" w:leader="none"/>
        </w:tabs>
        <w:autoSpaceDE w:val="false"/>
        <w:spacing w:lineRule="atLeast" w:line="240"/>
        <w:jc w:val="both"/>
        <w:rPr/>
      </w:pPr>
      <w:r>
        <w:rPr>
          <w:b/>
          <w:bCs/>
        </w:rPr>
        <w:t xml:space="preserve">Elektra long term PPA’s Renegotiations:  </w:t>
      </w:r>
      <w:r>
        <w:rPr/>
        <w:t>Prebid meeting took place October 19</w:t>
      </w:r>
      <w:r>
        <w:rPr>
          <w:vertAlign w:val="superscript"/>
        </w:rPr>
        <w:t>th</w:t>
      </w:r>
      <w:r>
        <w:rPr/>
        <w:t>.  Lack of restoration of economic balance clause, asymmetry in the penalties and obligations, the distributor's refusal to share any risk whatsoever, and exorbitant bid and performance bonds have created great dissatisfaction among the generators. Team is reluctant to participate unless major changes are made to the contracts. Since most or all the generators share this position, though, it is likely that there will be a bid postponement and substantial contract revisions</w:t>
      </w:r>
      <w:r>
        <w:rPr>
          <w:rFonts w:cs="Helv;Arial" w:ascii="Helv;Arial" w:hAnsi="Helv;Arial"/>
        </w:rPr>
        <w:t xml:space="preserve">.  </w:t>
      </w:r>
      <w:r>
        <w:rPr/>
        <w:t>Bids are due November 20</w:t>
      </w:r>
      <w:r>
        <w:rPr>
          <w:vertAlign w:val="superscript"/>
        </w:rPr>
        <w:t>th</w:t>
      </w:r>
      <w:r>
        <w:rPr/>
        <w:t xml:space="preserve"> and December 6</w:t>
      </w:r>
      <w:r>
        <w:rPr>
          <w:vertAlign w:val="superscript"/>
        </w:rPr>
        <w:t>th</w:t>
      </w:r>
      <w:r>
        <w:rPr/>
        <w:t>.</w:t>
      </w:r>
    </w:p>
    <w:p>
      <w:pPr>
        <w:pStyle w:val="Normal"/>
        <w:numPr>
          <w:ilvl w:val="2"/>
          <w:numId w:val="7"/>
        </w:numPr>
        <w:tabs>
          <w:tab w:val="clear" w:pos="720"/>
          <w:tab w:val="left" w:pos="0" w:leader="none"/>
          <w:tab w:val="left" w:pos="360" w:leader="none"/>
        </w:tabs>
        <w:autoSpaceDE w:val="false"/>
        <w:spacing w:lineRule="atLeast" w:line="240"/>
        <w:ind w:hanging="0" w:start="0" w:end="0"/>
        <w:jc w:val="both"/>
        <w:rPr/>
      </w:pPr>
      <w:r>
        <w:rPr>
          <w:b/>
          <w:bCs/>
        </w:rPr>
        <w:t xml:space="preserve">Potential Expansion of the Plant:  No Change - </w:t>
      </w:r>
      <w:r>
        <w:rPr/>
        <w:t xml:space="preserve">The team continues working on the </w:t>
      </w:r>
      <w:r>
        <w:rPr>
          <w:b/>
          <w:bCs/>
        </w:rPr>
        <w:tab/>
      </w:r>
      <w:r>
        <w:rPr/>
        <w:t>evaluation of the potential expansion/change of fuel project at the BLM plant.</w:t>
      </w:r>
    </w:p>
    <w:p>
      <w:pPr>
        <w:pStyle w:val="Normal"/>
        <w:spacing w:lineRule="atLeast" w:line="240"/>
        <w:rPr>
          <w:b/>
          <w:bCs/>
          <w:sz w:val="28"/>
          <w:szCs w:val="28"/>
          <w:u w:val="single"/>
        </w:rPr>
      </w:pPr>
      <w:r>
        <w:rPr>
          <w:b/>
          <w:bCs/>
          <w:sz w:val="28"/>
          <w:szCs w:val="28"/>
          <w:u w:val="single"/>
        </w:rPr>
      </w:r>
    </w:p>
    <w:p>
      <w:pPr>
        <w:pStyle w:val="Normal"/>
        <w:spacing w:lineRule="atLeast" w:line="240"/>
        <w:jc w:val="both"/>
        <w:rPr>
          <w:b/>
          <w:bCs/>
          <w:sz w:val="28"/>
          <w:szCs w:val="28"/>
          <w:u w:val="single"/>
        </w:rPr>
      </w:pPr>
      <w:r>
        <w:rPr>
          <w:b/>
          <w:bCs/>
          <w:sz w:val="28"/>
          <w:szCs w:val="28"/>
          <w:u w:val="single"/>
        </w:rPr>
        <w:t>DOMINICAN REPUBLIC (“DR”)</w:t>
      </w:r>
    </w:p>
    <w:p>
      <w:pPr>
        <w:pStyle w:val="Normal"/>
        <w:spacing w:lineRule="atLeast" w:line="240"/>
        <w:jc w:val="both"/>
        <w:rPr>
          <w:b/>
          <w:bCs/>
          <w:sz w:val="28"/>
          <w:szCs w:val="28"/>
          <w:u w:val="single"/>
        </w:rPr>
      </w:pPr>
      <w:r>
        <w:rPr>
          <w:b/>
          <w:bCs/>
          <w:sz w:val="28"/>
          <w:szCs w:val="28"/>
          <w:u w:val="single"/>
        </w:rPr>
      </w:r>
    </w:p>
    <w:p>
      <w:pPr>
        <w:pStyle w:val="Normal"/>
        <w:spacing w:lineRule="atLeast" w:line="240"/>
        <w:jc w:val="both"/>
        <w:rPr>
          <w:b/>
          <w:bCs/>
          <w:u w:val="single"/>
        </w:rPr>
      </w:pPr>
      <w:r>
        <w:rPr>
          <w:b/>
          <w:bCs/>
          <w:u w:val="single"/>
        </w:rPr>
        <w:t>SECLP</w:t>
      </w:r>
    </w:p>
    <w:p>
      <w:pPr>
        <w:pStyle w:val="Normal"/>
        <w:numPr>
          <w:ilvl w:val="0"/>
          <w:numId w:val="8"/>
        </w:numPr>
        <w:spacing w:lineRule="atLeast" w:line="240"/>
        <w:jc w:val="both"/>
        <w:rPr>
          <w:b/>
          <w:bCs/>
        </w:rPr>
      </w:pPr>
      <w:r>
        <w:rPr>
          <w:b/>
          <w:bCs/>
        </w:rPr>
        <w:t xml:space="preserve">CDE Status: </w:t>
      </w:r>
    </w:p>
    <w:p>
      <w:pPr>
        <w:pStyle w:val="Normal"/>
        <w:numPr>
          <w:ilvl w:val="0"/>
          <w:numId w:val="17"/>
        </w:numPr>
        <w:spacing w:lineRule="atLeast" w:line="240"/>
        <w:jc w:val="both"/>
        <w:rPr/>
      </w:pPr>
      <w:r>
        <w:rPr>
          <w:b/>
          <w:bCs/>
        </w:rPr>
        <w:t>Summary</w:t>
      </w:r>
      <w:r>
        <w:rPr/>
        <w:t>: In general, the plant is working fine, and now the team is working on the potential stranded costs claim, and waiting for the next payment of $8.9MM expected for November 15</w:t>
      </w:r>
      <w:r>
        <w:rPr>
          <w:vertAlign w:val="superscript"/>
        </w:rPr>
        <w:t>th</w:t>
      </w:r>
      <w:r>
        <w:rPr/>
        <w:t xml:space="preserve">. </w:t>
      </w:r>
    </w:p>
    <w:p>
      <w:pPr>
        <w:pStyle w:val="Normal"/>
        <w:numPr>
          <w:ilvl w:val="0"/>
          <w:numId w:val="8"/>
        </w:numPr>
        <w:spacing w:lineRule="atLeast" w:line="240"/>
        <w:jc w:val="both"/>
        <w:rPr/>
      </w:pPr>
      <w:r>
        <w:rPr>
          <w:b/>
          <w:bCs/>
        </w:rPr>
        <w:t>Insurance Steam Turbine claim for $16MM:</w:t>
      </w:r>
      <w:r>
        <w:rPr/>
        <w:t xml:space="preserve">  This claim has been sitting with HSB for months.  HSB has simply refused to recognize any lost value.  After several meetings our view is that we will have to pursue them legally if we want anything to happen.</w:t>
      </w:r>
    </w:p>
    <w:p>
      <w:pPr>
        <w:pStyle w:val="Normal"/>
        <w:jc w:val="both"/>
        <w:rPr>
          <w:color w:val="3366FF"/>
        </w:rPr>
      </w:pPr>
      <w:r>
        <w:rPr>
          <w:color w:val="3366FF"/>
        </w:rPr>
      </w:r>
    </w:p>
    <w:p>
      <w:pPr>
        <w:pStyle w:val="Heading5"/>
        <w:autoSpaceDE w:val="false"/>
        <w:spacing w:lineRule="atLeast" w:line="240"/>
        <w:ind w:hanging="0" w:start="0"/>
        <w:jc w:val="both"/>
        <w:rPr>
          <w:b w:val="false"/>
          <w:szCs w:val="24"/>
        </w:rPr>
      </w:pPr>
      <w:r>
        <w:rPr>
          <w:bCs/>
          <w:szCs w:val="24"/>
        </w:rPr>
        <w:t>GUATEMALA</w:t>
      </w:r>
    </w:p>
    <w:p>
      <w:pPr>
        <w:pStyle w:val="Normal"/>
        <w:jc w:val="both"/>
        <w:rPr>
          <w:b/>
          <w:bCs/>
          <w:szCs w:val="24"/>
        </w:rPr>
      </w:pPr>
      <w:r>
        <w:rPr>
          <w:b/>
          <w:bCs/>
          <w:szCs w:val="24"/>
        </w:rPr>
      </w:r>
    </w:p>
    <w:p>
      <w:pPr>
        <w:pStyle w:val="Heading7"/>
        <w:ind w:hanging="0" w:start="0"/>
        <w:rPr/>
      </w:pPr>
      <w:r>
        <w:rPr/>
        <w:t>PQPC/L</w:t>
      </w:r>
    </w:p>
    <w:p>
      <w:pPr>
        <w:pStyle w:val="Normal"/>
        <w:numPr>
          <w:ilvl w:val="0"/>
          <w:numId w:val="13"/>
        </w:numPr>
        <w:jc w:val="both"/>
        <w:rPr/>
      </w:pPr>
      <w:r>
        <w:rPr>
          <w:bCs/>
        </w:rPr>
        <w:t>The next board meeting is scheduled for October 25</w:t>
      </w:r>
      <w:r>
        <w:rPr>
          <w:bCs/>
          <w:vertAlign w:val="superscript"/>
        </w:rPr>
        <w:t>th</w:t>
      </w:r>
      <w:r>
        <w:rPr>
          <w:bCs/>
        </w:rPr>
        <w:t xml:space="preserve"> to be held in Houston.</w:t>
      </w:r>
    </w:p>
    <w:p>
      <w:pPr>
        <w:pStyle w:val="Normal"/>
        <w:numPr>
          <w:ilvl w:val="0"/>
          <w:numId w:val="13"/>
        </w:numPr>
        <w:jc w:val="both"/>
        <w:rPr/>
      </w:pPr>
      <w:r>
        <w:rPr>
          <w:b/>
          <w:bCs/>
        </w:rPr>
        <w:t>Commercial</w:t>
      </w:r>
      <w:r>
        <w:rPr/>
        <w:t>:  One of the towers of the 230 KV transmission line between Escuintla and Guatemala Sur substation suffered a structural failure October 17</w:t>
      </w:r>
      <w:r>
        <w:rPr>
          <w:vertAlign w:val="superscript"/>
        </w:rPr>
        <w:t>th</w:t>
      </w:r>
      <w:r>
        <w:rPr/>
        <w:t>.  The line was out for approximately 48 hours.  Both PQP plants were out of line, as well as San José.  The AMM has declared emergency condition of the system.</w:t>
      </w:r>
    </w:p>
    <w:p>
      <w:pPr>
        <w:pStyle w:val="Normal"/>
        <w:numPr>
          <w:ilvl w:val="0"/>
          <w:numId w:val="4"/>
        </w:numPr>
        <w:jc w:val="both"/>
        <w:rPr/>
      </w:pPr>
      <w:r>
        <w:rPr>
          <w:b/>
          <w:bCs/>
        </w:rPr>
        <w:t xml:space="preserve">MAN Engine Cracks:  No Changes - </w:t>
      </w:r>
      <w:r>
        <w:rPr/>
        <w:t xml:space="preserve">We received a counter proposal from MAN offering a 4-year total and 2-year (additional) limited warranty.  A counter proposal was sent asking for a 6-year or 4 periods of 3-year each.  MAN has not responded yet.   </w:t>
      </w:r>
    </w:p>
    <w:p>
      <w:pPr>
        <w:pStyle w:val="Normal"/>
        <w:rPr/>
      </w:pPr>
      <w:r>
        <w:rPr/>
      </w:r>
    </w:p>
    <w:p>
      <w:pPr>
        <w:pStyle w:val="Heading5"/>
        <w:ind w:hanging="0" w:start="0"/>
        <w:jc w:val="both"/>
        <w:rPr/>
      </w:pPr>
      <w:r>
        <w:rPr/>
        <w:t>NICARAGUA</w:t>
      </w:r>
    </w:p>
    <w:p>
      <w:pPr>
        <w:pStyle w:val="Normal"/>
        <w:jc w:val="both"/>
        <w:rPr>
          <w:b/>
        </w:rPr>
      </w:pPr>
      <w:r>
        <w:rPr>
          <w:b/>
        </w:rPr>
      </w:r>
    </w:p>
    <w:p>
      <w:pPr>
        <w:pStyle w:val="Heading7"/>
        <w:ind w:hanging="0" w:start="0"/>
        <w:rPr>
          <w:color w:val="000000"/>
        </w:rPr>
      </w:pPr>
      <w:r>
        <w:rPr>
          <w:color w:val="000000"/>
        </w:rPr>
        <w:t>CORINTO</w:t>
      </w:r>
    </w:p>
    <w:p>
      <w:pPr>
        <w:pStyle w:val="Normal"/>
        <w:numPr>
          <w:ilvl w:val="0"/>
          <w:numId w:val="13"/>
        </w:numPr>
        <w:jc w:val="both"/>
        <w:rPr>
          <w:bCs/>
          <w:color w:val="000000"/>
        </w:rPr>
      </w:pPr>
      <w:r>
        <w:rPr>
          <w:bCs/>
          <w:color w:val="000000"/>
        </w:rPr>
        <w:t>The next board meeting is scheduled for October 25</w:t>
      </w:r>
      <w:r>
        <w:rPr>
          <w:bCs/>
          <w:color w:val="000000"/>
          <w:vertAlign w:val="superscript"/>
        </w:rPr>
        <w:t>th</w:t>
      </w:r>
      <w:r>
        <w:rPr>
          <w:bCs/>
          <w:color w:val="000000"/>
        </w:rPr>
        <w:t xml:space="preserve"> to be held in Houston.</w:t>
      </w:r>
    </w:p>
    <w:p>
      <w:pPr>
        <w:pStyle w:val="Normal"/>
        <w:numPr>
          <w:ilvl w:val="0"/>
          <w:numId w:val="13"/>
        </w:numPr>
        <w:jc w:val="both"/>
        <w:rPr>
          <w:b/>
          <w:bCs/>
          <w:sz w:val="28"/>
          <w:szCs w:val="28"/>
          <w:u w:val="single"/>
        </w:rPr>
      </w:pPr>
      <w:r>
        <w:rPr>
          <w:b/>
          <w:bCs/>
          <w:color w:val="000000"/>
        </w:rPr>
        <w:t xml:space="preserve">Insurance:  </w:t>
      </w:r>
      <w:r>
        <w:rPr>
          <w:color w:val="000000"/>
        </w:rPr>
        <w:t xml:space="preserve">The situation has not changed much.  We are being asked to pay $1.2MM (for a 70MW plant) with a deductible of $5MM for physical damage and 90 days for BI. Essentially no coverage for a project of this size. </w:t>
      </w:r>
    </w:p>
    <w:p>
      <w:pPr>
        <w:pStyle w:val="Normal"/>
        <w:jc w:val="both"/>
        <w:rPr>
          <w:b/>
          <w:bCs/>
          <w:sz w:val="28"/>
          <w:szCs w:val="28"/>
          <w:u w:val="single"/>
        </w:rPr>
      </w:pPr>
      <w:r>
        <w:rPr>
          <w:b/>
          <w:bCs/>
          <w:sz w:val="28"/>
          <w:szCs w:val="28"/>
          <w:u w:val="single"/>
        </w:rPr>
      </w:r>
    </w:p>
    <w:p>
      <w:pPr>
        <w:pStyle w:val="Normal"/>
        <w:spacing w:lineRule="atLeast" w:line="240"/>
        <w:jc w:val="both"/>
        <w:rPr>
          <w:b/>
          <w:bCs/>
          <w:sz w:val="28"/>
          <w:szCs w:val="28"/>
          <w:u w:val="single"/>
        </w:rPr>
      </w:pPr>
      <w:r>
        <w:rPr>
          <w:b/>
          <w:bCs/>
          <w:sz w:val="28"/>
          <w:szCs w:val="28"/>
          <w:u w:val="single"/>
        </w:rPr>
        <w:t>JAMAICA</w:t>
      </w:r>
    </w:p>
    <w:p>
      <w:pPr>
        <w:pStyle w:val="Normal"/>
        <w:spacing w:lineRule="atLeast" w:line="240"/>
        <w:ind w:start="936" w:end="0"/>
        <w:jc w:val="both"/>
        <w:rPr>
          <w:b/>
          <w:bCs/>
          <w:sz w:val="28"/>
          <w:szCs w:val="28"/>
          <w:u w:val="single"/>
        </w:rPr>
      </w:pPr>
      <w:r>
        <w:rPr>
          <w:b/>
          <w:bCs/>
          <w:sz w:val="28"/>
          <w:szCs w:val="28"/>
          <w:u w:val="single"/>
        </w:rPr>
      </w:r>
    </w:p>
    <w:p>
      <w:pPr>
        <w:pStyle w:val="Heading3"/>
        <w:ind w:hanging="0" w:start="0"/>
        <w:rPr>
          <w:color w:val="000000"/>
        </w:rPr>
      </w:pPr>
      <w:r>
        <w:rPr>
          <w:color w:val="000000"/>
        </w:rPr>
        <w:t>IGL</w:t>
      </w:r>
    </w:p>
    <w:p>
      <w:pPr>
        <w:pStyle w:val="Normal"/>
        <w:numPr>
          <w:ilvl w:val="0"/>
          <w:numId w:val="11"/>
        </w:numPr>
        <w:jc w:val="both"/>
        <w:rPr/>
      </w:pPr>
      <w:r>
        <w:rPr/>
        <w:t xml:space="preserve">No significant transactions to be reported this week.  </w:t>
      </w:r>
    </w:p>
    <w:p>
      <w:pPr>
        <w:pStyle w:val="Normal"/>
        <w:jc w:val="both"/>
        <w:rPr>
          <w:color w:val="3366FF"/>
        </w:rPr>
      </w:pPr>
      <w:r>
        <w:rPr>
          <w:color w:val="3366FF"/>
        </w:rPr>
      </w:r>
    </w:p>
    <w:p>
      <w:pPr>
        <w:pStyle w:val="Normal"/>
        <w:spacing w:lineRule="atLeast" w:line="240"/>
        <w:ind w:start="720" w:end="0"/>
        <w:jc w:val="both"/>
        <w:rPr>
          <w:color w:val="000000"/>
        </w:rPr>
      </w:pPr>
      <w:r>
        <w:rPr>
          <w:color w:val="000000"/>
        </w:rPr>
        <w:t> </w:t>
      </w:r>
    </w:p>
    <w:p>
      <w:pPr>
        <w:pStyle w:val="Normal"/>
        <w:rPr>
          <w:b/>
          <w:bCs/>
        </w:rPr>
      </w:pPr>
      <w:r>
        <w:rPr>
          <w:b/>
          <w:bCs/>
        </w:rPr>
        <w:t xml:space="preserve">Saludos,  </w:t>
      </w:r>
    </w:p>
    <w:p>
      <w:pPr>
        <w:pStyle w:val="Normal"/>
        <w:jc w:val="both"/>
        <w:rPr>
          <w:b/>
          <w:bCs/>
        </w:rPr>
      </w:pPr>
      <w:r>
        <w:rPr>
          <w:b/>
          <w:bCs/>
        </w:rPr>
        <w:t>The Team</w:t>
      </w:r>
    </w:p>
    <w:sectPr>
      <w:headerReference w:type="default" r:id="rId2"/>
      <w:headerReference w:type="first" r:id="rId3"/>
      <w:footerReference w:type="default" r:id="rId4"/>
      <w:footerReference w:type="first" r:id="rId5"/>
      <w:type w:val="nextPage"/>
      <w:pgSz w:w="12240" w:h="15840"/>
      <w:pgMar w:left="1296" w:right="1584" w:gutter="0" w:header="720" w:top="864"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Helv">
    <w:altName w:val="Arial"/>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Weekly Status Report</w:t>
    </w:r>
  </w:p>
  <w:p>
    <w:pPr>
      <w:pStyle w:val="Header"/>
      <w:rPr/>
    </w:pPr>
    <w:r>
      <w:rPr/>
      <w:t>October 21, 2001</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Symbol" w:hAnsi="Symbol" w:cs="Symbol"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1080"/>
        </w:tabs>
        <w:ind w:start="108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720"/>
        </w:tabs>
        <w:ind w:start="720" w:hanging="360"/>
      </w:pPr>
      <w:rPr>
        <w:rFonts w:ascii="Symbol" w:hAnsi="Symbol" w:cs="Symbol" w:hint="default"/>
      </w:rPr>
    </w:lvl>
  </w:abstractNum>
  <w:abstractNum w:abstractNumId="15">
    <w:lvl w:ilvl="0">
      <w:start w:val="1"/>
      <w:numFmt w:val="bullet"/>
      <w:lvlText w:val=""/>
      <w:lvlJc w:val="start"/>
      <w:pPr>
        <w:tabs>
          <w:tab w:val="num" w:pos="720"/>
        </w:tabs>
        <w:ind w:start="72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color w:val="000000"/>
      </w:rPr>
    </w:lvl>
  </w:abstractNum>
  <w:abstractNum w:abstractNumId="17">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firstLine="720" w:start="0" w:end="0"/>
      <w:outlineLvl w:val="0"/>
    </w:pPr>
    <w:rPr>
      <w:b/>
      <w:sz w:val="28"/>
      <w:szCs w:val="20"/>
      <w:u w:val="single"/>
    </w:rPr>
  </w:style>
  <w:style w:type="paragraph" w:styleId="Heading2">
    <w:name w:val="heading 2"/>
    <w:basedOn w:val="Normal"/>
    <w:next w:val="Normal"/>
    <w:qFormat/>
    <w:pPr>
      <w:keepNext w:val="true"/>
      <w:numPr>
        <w:ilvl w:val="1"/>
        <w:numId w:val="1"/>
      </w:numPr>
      <w:outlineLvl w:val="1"/>
    </w:pPr>
    <w:rPr>
      <w:b/>
      <w:sz w:val="20"/>
      <w:szCs w:val="20"/>
    </w:rPr>
  </w:style>
  <w:style w:type="paragraph" w:styleId="Heading3">
    <w:name w:val="heading 3"/>
    <w:basedOn w:val="Normal"/>
    <w:next w:val="Normal"/>
    <w:qFormat/>
    <w:pPr>
      <w:keepNext w:val="true"/>
      <w:numPr>
        <w:ilvl w:val="2"/>
        <w:numId w:val="1"/>
      </w:numPr>
      <w:autoSpaceDE w:val="false"/>
      <w:spacing w:lineRule="atLeast" w:line="240"/>
      <w:jc w:val="both"/>
      <w:outlineLvl w:val="2"/>
    </w:pPr>
    <w:rPr>
      <w:b/>
      <w:color w:val="000000"/>
      <w:u w:val="single"/>
    </w:rPr>
  </w:style>
  <w:style w:type="paragraph" w:styleId="Heading4">
    <w:name w:val="heading 4"/>
    <w:basedOn w:val="Normal"/>
    <w:next w:val="Normal"/>
    <w:qFormat/>
    <w:pPr>
      <w:keepNext w:val="true"/>
      <w:numPr>
        <w:ilvl w:val="3"/>
        <w:numId w:val="1"/>
      </w:numPr>
      <w:jc w:val="both"/>
      <w:outlineLvl w:val="3"/>
    </w:pPr>
    <w:rPr>
      <w:rFonts w:ascii="Arial" w:hAnsi="Arial" w:cs="Arial"/>
      <w:i/>
      <w:color w:val="000000"/>
      <w:sz w:val="20"/>
      <w:szCs w:val="20"/>
    </w:rPr>
  </w:style>
  <w:style w:type="paragraph" w:styleId="Heading5">
    <w:name w:val="heading 5"/>
    <w:basedOn w:val="Normal"/>
    <w:next w:val="Normal"/>
    <w:qFormat/>
    <w:pPr>
      <w:keepNext w:val="true"/>
      <w:numPr>
        <w:ilvl w:val="4"/>
        <w:numId w:val="1"/>
      </w:numPr>
      <w:outlineLvl w:val="4"/>
    </w:pPr>
    <w:rPr>
      <w:b/>
      <w:sz w:val="28"/>
      <w:szCs w:val="20"/>
      <w:u w:val="single"/>
    </w:rPr>
  </w:style>
  <w:style w:type="paragraph" w:styleId="Heading6">
    <w:name w:val="heading 6"/>
    <w:basedOn w:val="Normal"/>
    <w:next w:val="Normal"/>
    <w:qFormat/>
    <w:pPr>
      <w:keepNext w:val="true"/>
      <w:numPr>
        <w:ilvl w:val="5"/>
        <w:numId w:val="1"/>
      </w:numPr>
      <w:outlineLvl w:val="5"/>
    </w:pPr>
    <w:rPr>
      <w:b/>
      <w:sz w:val="28"/>
      <w:szCs w:val="20"/>
    </w:rPr>
  </w:style>
  <w:style w:type="paragraph" w:styleId="Heading7">
    <w:name w:val="heading 7"/>
    <w:basedOn w:val="Normal"/>
    <w:next w:val="Normal"/>
    <w:qFormat/>
    <w:pPr>
      <w:keepNext w:val="true"/>
      <w:numPr>
        <w:ilvl w:val="6"/>
        <w:numId w:val="1"/>
      </w:numPr>
      <w:jc w:val="both"/>
      <w:outlineLvl w:val="6"/>
    </w:pPr>
    <w:rPr>
      <w:b/>
      <w:szCs w:val="20"/>
      <w:u w:val="single"/>
    </w:rPr>
  </w:style>
  <w:style w:type="paragraph" w:styleId="Heading8">
    <w:name w:val="heading 8"/>
    <w:basedOn w:val="Normal"/>
    <w:next w:val="Normal"/>
    <w:qFormat/>
    <w:pPr>
      <w:keepNext w:val="true"/>
      <w:numPr>
        <w:ilvl w:val="7"/>
        <w:numId w:val="1"/>
      </w:numPr>
      <w:ind w:firstLine="720" w:start="3600" w:end="0"/>
      <w:jc w:val="both"/>
      <w:outlineLvl w:val="7"/>
    </w:pPr>
    <w:rPr>
      <w:b/>
      <w:color w:val="000000"/>
      <w:sz w:val="32"/>
    </w:rPr>
  </w:style>
  <w:style w:type="paragraph" w:styleId="Heading9">
    <w:name w:val="heading 9"/>
    <w:basedOn w:val="Normal"/>
    <w:next w:val="Normal"/>
    <w:qFormat/>
    <w:pPr>
      <w:keepNext w:val="true"/>
      <w:numPr>
        <w:ilvl w:val="8"/>
        <w:numId w:val="1"/>
      </w:numPr>
      <w:jc w:val="both"/>
      <w:outlineLvl w:val="8"/>
    </w:pPr>
    <w:rPr>
      <w:b/>
      <w:bCs/>
      <w:color w:val="0000FF"/>
      <w:sz w:val="28"/>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color w:val="auto"/>
      <w:sz w:val="28"/>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5">
    <w:name w:val="WW8Num10z5"/>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5">
    <w:name w:val="WW8Num16z5"/>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color w:val="000000"/>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color w:val="000000"/>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2">
    <w:name w:val="WW8Num30z2"/>
    <w:qFormat/>
    <w:rPr>
      <w:rFonts w:ascii="Wingdings" w:hAnsi="Wingdings" w:cs="Wingdings"/>
    </w:rPr>
  </w:style>
  <w:style w:type="character" w:styleId="WW8Num30z4">
    <w:name w:val="WW8Num30z4"/>
    <w:qFormat/>
    <w:rPr>
      <w:rFonts w:ascii="Courier New" w:hAnsi="Courier New" w:cs="Courier New"/>
    </w:rPr>
  </w:style>
  <w:style w:type="character" w:styleId="WW8Num31z0">
    <w:name w:val="WW8Num31z0"/>
    <w:qFormat/>
    <w:rPr>
      <w:rFonts w:ascii="Symbol" w:hAnsi="Symbol" w:cs="Symbol"/>
    </w:rPr>
  </w:style>
  <w:style w:type="character" w:styleId="WW8Num31z2">
    <w:name w:val="WW8Num31z2"/>
    <w:qFormat/>
    <w:rPr>
      <w:rFonts w:ascii="Wingdings" w:hAnsi="Wingdings" w:cs="Wingdings"/>
    </w:rPr>
  </w:style>
  <w:style w:type="character" w:styleId="WW8Num31z4">
    <w:name w:val="WW8Num31z4"/>
    <w:qFormat/>
    <w:rPr>
      <w:rFonts w:ascii="Courier New" w:hAnsi="Courier New" w:cs="Courier New"/>
    </w:rPr>
  </w:style>
  <w:style w:type="character" w:styleId="WW8Num32z0">
    <w:name w:val="WW8Num32z0"/>
    <w:qFormat/>
    <w:rPr>
      <w:rFonts w:ascii="Symbol" w:hAnsi="Symbol" w:cs="Symbol"/>
    </w:rPr>
  </w:style>
  <w:style w:type="character" w:styleId="WW8Num32z2">
    <w:name w:val="WW8Num32z2"/>
    <w:qFormat/>
    <w:rPr>
      <w:rFonts w:ascii="Symbol" w:hAnsi="Symbol" w:eastAsia="Times New Roman" w:cs="Times New Roman"/>
    </w:rPr>
  </w:style>
  <w:style w:type="character" w:styleId="WW8Num32z4">
    <w:name w:val="WW8Num32z4"/>
    <w:qFormat/>
    <w:rPr>
      <w:rFonts w:ascii="Courier New" w:hAnsi="Courier New" w:cs="Courier New"/>
    </w:rPr>
  </w:style>
  <w:style w:type="character" w:styleId="WW8Num32z5">
    <w:name w:val="WW8Num32z5"/>
    <w:qFormat/>
    <w:rPr>
      <w:rFonts w:ascii="Wingdings" w:hAnsi="Wingdings" w:cs="Wingdings"/>
    </w:rPr>
  </w:style>
  <w:style w:type="character" w:styleId="WW8Num34z0">
    <w:name w:val="WW8Num34z0"/>
    <w:qFormat/>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rPr>
  </w:style>
  <w:style w:type="character" w:styleId="WW8Num40z1">
    <w:name w:val="WW8Num40z1"/>
    <w:qFormat/>
    <w:rPr>
      <w:rFonts w:ascii="Symbol" w:hAnsi="Symbol" w:cs="Symbol"/>
      <w:color w:val="000000"/>
    </w:rPr>
  </w:style>
  <w:style w:type="character" w:styleId="WW8Num40z2">
    <w:name w:val="WW8Num40z2"/>
    <w:qFormat/>
    <w:rPr>
      <w:rFonts w:ascii="Wingdings" w:hAnsi="Wingdings" w:cs="Wingdings"/>
    </w:rPr>
  </w:style>
  <w:style w:type="character" w:styleId="WW8Num40z4">
    <w:name w:val="WW8Num40z4"/>
    <w:qFormat/>
    <w:rPr>
      <w:rFonts w:ascii="Courier New" w:hAnsi="Courier New" w:cs="Courier New"/>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Symbol" w:hAnsi="Symbol" w:cs="Symbol"/>
      <w:sz w:val="20"/>
    </w:rPr>
  </w:style>
  <w:style w:type="character" w:styleId="WW8Num44z1">
    <w:name w:val="WW8Num44z1"/>
    <w:qFormat/>
    <w:rPr>
      <w:rFonts w:ascii="Courier New" w:hAnsi="Courier New" w:cs="Courier New"/>
      <w:sz w:val="20"/>
    </w:rPr>
  </w:style>
  <w:style w:type="character" w:styleId="WW8Num44z2">
    <w:name w:val="WW8Num44z2"/>
    <w:qFormat/>
    <w:rPr>
      <w:rFonts w:ascii="Wingdings" w:hAnsi="Wingdings" w:cs="Wingdings"/>
      <w:sz w:val="20"/>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5">
    <w:name w:val="WW8Num46z5"/>
    <w:qFormat/>
    <w:rPr>
      <w:rFonts w:ascii="Wingdings" w:hAnsi="Wingdings" w:cs="Wingdings"/>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5">
    <w:name w:val="WW8Num47z5"/>
    <w:qFormat/>
    <w:rPr>
      <w:rFonts w:ascii="Wingdings" w:hAnsi="Wingdings" w:cs="Wingdings"/>
    </w:rPr>
  </w:style>
  <w:style w:type="character" w:styleId="WW8Num48z0">
    <w:name w:val="WW8Num48z0"/>
    <w:qFormat/>
    <w:rPr>
      <w:rFonts w:ascii="Symbol" w:hAnsi="Symbol" w:cs="Symbol"/>
    </w:rPr>
  </w:style>
  <w:style w:type="character" w:styleId="WW8Num48z2">
    <w:name w:val="WW8Num48z2"/>
    <w:qFormat/>
    <w:rPr>
      <w:rFonts w:ascii="Wingdings" w:hAnsi="Wingdings" w:cs="Wingdings"/>
    </w:rPr>
  </w:style>
  <w:style w:type="character" w:styleId="WW8Num48z4">
    <w:name w:val="WW8Num48z4"/>
    <w:qFormat/>
    <w:rPr>
      <w:rFonts w:ascii="Courier New" w:hAnsi="Courier New" w:cs="Courier New"/>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1z0">
    <w:name w:val="WW8Num51z0"/>
    <w:qFormat/>
    <w:rPr>
      <w:rFonts w:ascii="Symbol" w:hAnsi="Symbol" w:cs="Symbol"/>
    </w:rPr>
  </w:style>
  <w:style w:type="character" w:styleId="WW8Num52z0">
    <w:name w:val="WW8Num52z0"/>
    <w:qFormat/>
    <w:rPr>
      <w:rFonts w:ascii="Symbol" w:hAnsi="Symbol" w:cs="Symbol"/>
      <w:color w:val="000000"/>
    </w:rPr>
  </w:style>
  <w:style w:type="character" w:styleId="WW8Num52z1">
    <w:name w:val="WW8Num52z1"/>
    <w:qFormat/>
    <w:rPr>
      <w:rFonts w:ascii="Symbol" w:hAnsi="Symbol" w:cs="Symbol"/>
    </w:rPr>
  </w:style>
  <w:style w:type="character" w:styleId="WW8Num52z2">
    <w:name w:val="WW8Num52z2"/>
    <w:qFormat/>
    <w:rPr>
      <w:rFonts w:ascii="Wingdings" w:hAnsi="Wingdings" w:cs="Wingdings"/>
    </w:rPr>
  </w:style>
  <w:style w:type="character" w:styleId="WW8Num52z4">
    <w:name w:val="WW8Num52z4"/>
    <w:qFormat/>
    <w:rPr>
      <w:rFonts w:ascii="Courier New" w:hAnsi="Courier New" w:cs="Courier New"/>
    </w:rPr>
  </w:style>
  <w:style w:type="character" w:styleId="WW8Num53z0">
    <w:name w:val="WW8Num53z0"/>
    <w:qFormat/>
    <w:rPr>
      <w:rFonts w:ascii="Symbol" w:hAnsi="Symbol" w:cs="Symbol"/>
      <w:color w:val="000000"/>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3z3">
    <w:name w:val="WW8Num53z3"/>
    <w:qFormat/>
    <w:rPr>
      <w:rFonts w:ascii="Symbol" w:hAnsi="Symbol" w:cs="Symbol"/>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9z0">
    <w:name w:val="WW8Num59z0"/>
    <w:qFormat/>
    <w:rPr>
      <w:rFonts w:ascii="Symbol" w:hAnsi="Symbol" w:cs="Symbol"/>
      <w:color w:val="000000"/>
    </w:rPr>
  </w:style>
  <w:style w:type="character" w:styleId="WW8Num60z0">
    <w:name w:val="WW8Num60z0"/>
    <w:qFormat/>
    <w:rPr>
      <w:rFonts w:ascii="Symbol" w:hAnsi="Symbol" w:cs="Symbol"/>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1z0">
    <w:name w:val="WW8Num61z0"/>
    <w:qFormat/>
    <w:rPr>
      <w:rFonts w:ascii="Symbol" w:hAnsi="Symbol" w:cs="Symbol"/>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2z0">
    <w:name w:val="WW8Num62z0"/>
    <w:qFormat/>
    <w:rPr>
      <w:rFonts w:ascii="Symbol" w:hAnsi="Symbol" w:cs="Symbol"/>
      <w:color w:val="000000"/>
    </w:rPr>
  </w:style>
  <w:style w:type="character" w:styleId="WW8Num62z1">
    <w:name w:val="WW8Num62z1"/>
    <w:qFormat/>
    <w:rPr>
      <w:rFonts w:ascii="Symbol" w:hAnsi="Symbol" w:cs="Symbol"/>
    </w:rPr>
  </w:style>
  <w:style w:type="character" w:styleId="WW8Num62z2">
    <w:name w:val="WW8Num62z2"/>
    <w:qFormat/>
    <w:rPr>
      <w:rFonts w:ascii="Wingdings" w:hAnsi="Wingdings" w:cs="Wingdings"/>
    </w:rPr>
  </w:style>
  <w:style w:type="character" w:styleId="WW8Num62z4">
    <w:name w:val="WW8Num62z4"/>
    <w:qFormat/>
    <w:rPr>
      <w:rFonts w:ascii="Courier New" w:hAnsi="Courier New" w:cs="Courier New"/>
    </w:rPr>
  </w:style>
  <w:style w:type="character" w:styleId="WW8Num63z0">
    <w:name w:val="WW8Num63z0"/>
    <w:qFormat/>
    <w:rPr>
      <w:rFonts w:ascii="Symbol" w:hAnsi="Symbol" w:cs="Symbol"/>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4z0">
    <w:name w:val="WW8Num64z0"/>
    <w:qFormat/>
    <w:rPr>
      <w:rFonts w:ascii="Symbol" w:hAnsi="Symbol" w:cs="Symbol"/>
    </w:rPr>
  </w:style>
  <w:style w:type="character" w:styleId="WW8Num64z2">
    <w:name w:val="WW8Num64z2"/>
    <w:qFormat/>
    <w:rPr>
      <w:rFonts w:ascii="Wingdings" w:hAnsi="Wingdings" w:cs="Wingdings"/>
    </w:rPr>
  </w:style>
  <w:style w:type="character" w:styleId="WW8Num64z4">
    <w:name w:val="WW8Num64z4"/>
    <w:qFormat/>
    <w:rPr>
      <w:rFonts w:ascii="Courier New" w:hAnsi="Courier New" w:cs="Courier New"/>
    </w:rPr>
  </w:style>
  <w:style w:type="character" w:styleId="WW8Num65z0">
    <w:name w:val="WW8Num65z0"/>
    <w:qFormat/>
    <w:rPr>
      <w:rFonts w:ascii="Symbol" w:hAnsi="Symbol" w:cs="Symbol"/>
      <w:color w:val="000000"/>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5z3">
    <w:name w:val="WW8Num65z3"/>
    <w:qFormat/>
    <w:rPr>
      <w:rFonts w:ascii="Symbol" w:hAnsi="Symbol" w:cs="Symbol"/>
    </w:rPr>
  </w:style>
  <w:style w:type="character" w:styleId="WW8Num66z0">
    <w:name w:val="WW8Num66z0"/>
    <w:qFormat/>
    <w:rPr>
      <w:rFonts w:ascii="Symbol" w:hAnsi="Symbol" w:cs="Symbol"/>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Symbol" w:hAnsi="Symbol" w:cs="Symbol"/>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0z0">
    <w:name w:val="WW8Num70z0"/>
    <w:qFormat/>
    <w:rPr>
      <w:rFonts w:ascii="Symbol" w:hAnsi="Symbol" w:cs="Symbol"/>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1z0">
    <w:name w:val="WW8Num71z0"/>
    <w:qFormat/>
    <w:rPr>
      <w:rFonts w:ascii="Courier New" w:hAnsi="Courier New" w:cs="Courier New"/>
    </w:rPr>
  </w:style>
  <w:style w:type="character" w:styleId="WW8Num71z2">
    <w:name w:val="WW8Num71z2"/>
    <w:qFormat/>
    <w:rPr>
      <w:rFonts w:ascii="Wingdings" w:hAnsi="Wingdings" w:cs="Wingdings"/>
    </w:rPr>
  </w:style>
  <w:style w:type="character" w:styleId="WW8Num71z3">
    <w:name w:val="WW8Num71z3"/>
    <w:qFormat/>
    <w:rPr>
      <w:rFonts w:ascii="Symbol" w:hAnsi="Symbol" w:cs="Symbol"/>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3z0">
    <w:name w:val="WW8Num73z0"/>
    <w:qFormat/>
    <w:rPr>
      <w:rFonts w:ascii="Symbol" w:hAnsi="Symbol" w:cs="Symbol"/>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4z0">
    <w:name w:val="WW8Num74z0"/>
    <w:qFormat/>
    <w:rPr>
      <w:rFonts w:ascii="Symbol" w:hAnsi="Symbol" w:cs="Symbol"/>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5z0">
    <w:name w:val="WW8Num75z0"/>
    <w:qFormat/>
    <w:rPr>
      <w:rFonts w:ascii="Symbol" w:hAnsi="Symbol" w:cs="Symbol"/>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6z0">
    <w:name w:val="WW8Num76z0"/>
    <w:qFormat/>
    <w:rPr>
      <w:rFonts w:ascii="Symbol" w:hAnsi="Symbol" w:cs="Symbol"/>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7z0">
    <w:name w:val="WW8Num77z0"/>
    <w:qFormat/>
    <w:rPr>
      <w:rFonts w:ascii="Symbol" w:hAnsi="Symbol" w:cs="Symbol"/>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79z1">
    <w:name w:val="WW8Num79z1"/>
    <w:qFormat/>
    <w:rPr>
      <w:rFonts w:ascii="Courier New" w:hAnsi="Courier New" w:cs="Courier New"/>
    </w:rPr>
  </w:style>
  <w:style w:type="character" w:styleId="WW8Num79z2">
    <w:name w:val="WW8Num79z2"/>
    <w:qFormat/>
    <w:rPr>
      <w:rFonts w:ascii="Wingdings" w:hAnsi="Wingdings" w:cs="Wingdings"/>
    </w:rPr>
  </w:style>
  <w:style w:type="character" w:styleId="WW8Num80z0">
    <w:name w:val="WW8Num80z0"/>
    <w:qFormat/>
    <w:rPr>
      <w:rFonts w:ascii="Symbol" w:hAnsi="Symbol" w:cs="Symbol"/>
      <w:color w:val="auto"/>
      <w:sz w:val="28"/>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0z3">
    <w:name w:val="WW8Num80z3"/>
    <w:qFormat/>
    <w:rPr>
      <w:rFonts w:ascii="Symbol" w:hAnsi="Symbol" w:cs="Symbol"/>
    </w:rPr>
  </w:style>
  <w:style w:type="character" w:styleId="WW8Num81z0">
    <w:name w:val="WW8Num81z0"/>
    <w:qFormat/>
    <w:rPr>
      <w:rFonts w:ascii="Symbol" w:hAnsi="Symbol" w:cs="Symbol"/>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2z0">
    <w:name w:val="WW8Num82z0"/>
    <w:qFormat/>
    <w:rPr>
      <w:rFonts w:ascii="Symbol" w:hAnsi="Symbol" w:cs="Symbol"/>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3z0">
    <w:name w:val="WW8Num83z0"/>
    <w:qFormat/>
    <w:rPr>
      <w:rFonts w:ascii="Symbol" w:hAnsi="Symbol" w:cs="Symbol"/>
      <w:color w:val="000000"/>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3z3">
    <w:name w:val="WW8Num83z3"/>
    <w:qFormat/>
    <w:rPr>
      <w:rFonts w:ascii="Symbol" w:hAnsi="Symbol" w:cs="Symbol"/>
    </w:rPr>
  </w:style>
  <w:style w:type="character" w:styleId="WW8Num84z0">
    <w:name w:val="WW8Num84z0"/>
    <w:qFormat/>
    <w:rPr>
      <w:rFonts w:ascii="Symbol" w:hAnsi="Symbol" w:cs="Symbol"/>
      <w:color w:val="000000"/>
    </w:rPr>
  </w:style>
  <w:style w:type="character" w:styleId="WW8Num84z2">
    <w:name w:val="WW8Num84z2"/>
    <w:qFormat/>
    <w:rPr>
      <w:rFonts w:ascii="Wingdings" w:hAnsi="Wingdings" w:cs="Wingdings"/>
    </w:rPr>
  </w:style>
  <w:style w:type="character" w:styleId="WW8Num84z3">
    <w:name w:val="WW8Num84z3"/>
    <w:qFormat/>
    <w:rPr>
      <w:rFonts w:ascii="Symbol" w:hAnsi="Symbol" w:cs="Symbol"/>
    </w:rPr>
  </w:style>
  <w:style w:type="character" w:styleId="WW8Num84z4">
    <w:name w:val="WW8Num84z4"/>
    <w:qFormat/>
    <w:rPr>
      <w:rFonts w:ascii="Courier New" w:hAnsi="Courier New" w:cs="Courier New"/>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7z1">
    <w:name w:val="WW8Num87z1"/>
    <w:qFormat/>
    <w:rPr>
      <w:rFonts w:ascii="Courier New" w:hAnsi="Courier New" w:cs="Courier New"/>
    </w:rPr>
  </w:style>
  <w:style w:type="character" w:styleId="WW8Num87z5">
    <w:name w:val="WW8Num87z5"/>
    <w:qFormat/>
    <w:rPr>
      <w:rFonts w:ascii="Wingdings" w:hAnsi="Wingdings" w:cs="Wingdings"/>
    </w:rPr>
  </w:style>
  <w:style w:type="character" w:styleId="WW8Num88z0">
    <w:name w:val="WW8Num88z0"/>
    <w:qFormat/>
    <w:rPr>
      <w:rFonts w:ascii="Symbol" w:hAnsi="Symbol" w:cs="Symbol"/>
    </w:rPr>
  </w:style>
  <w:style w:type="character" w:styleId="WW8Num88z1">
    <w:name w:val="WW8Num88z1"/>
    <w:qFormat/>
    <w:rPr>
      <w:rFonts w:ascii="Courier New" w:hAnsi="Courier New" w:cs="Courier New"/>
    </w:rPr>
  </w:style>
  <w:style w:type="character" w:styleId="WW8Num88z2">
    <w:name w:val="WW8Num88z2"/>
    <w:qFormat/>
    <w:rPr>
      <w:rFonts w:ascii="Wingdings" w:hAnsi="Wingdings" w:cs="Wingdings"/>
    </w:rPr>
  </w:style>
  <w:style w:type="character" w:styleId="WW8Num89z0">
    <w:name w:val="WW8Num89z0"/>
    <w:qFormat/>
    <w:rPr>
      <w:rFonts w:ascii="Symbol" w:hAnsi="Symbol" w:cs="Symbol"/>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90z0">
    <w:name w:val="WW8Num90z0"/>
    <w:qFormat/>
    <w:rPr>
      <w:rFonts w:ascii="Symbol" w:hAnsi="Symbol" w:cs="Symbol"/>
    </w:rPr>
  </w:style>
  <w:style w:type="character" w:styleId="WW8Num90z1">
    <w:name w:val="WW8Num90z1"/>
    <w:qFormat/>
    <w:rPr>
      <w:rFonts w:ascii="Courier New" w:hAnsi="Courier New" w:cs="Courier New"/>
    </w:rPr>
  </w:style>
  <w:style w:type="character" w:styleId="WW8Num90z2">
    <w:name w:val="WW8Num90z2"/>
    <w:qFormat/>
    <w:rPr>
      <w:rFonts w:ascii="Wingdings" w:hAnsi="Wingdings" w:cs="Wingdings"/>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3z0">
    <w:name w:val="WW8Num93z0"/>
    <w:qFormat/>
    <w:rPr>
      <w:rFonts w:ascii="Symbol" w:hAnsi="Symbol" w:cs="Symbol"/>
      <w:color w:val="auto"/>
      <w:sz w:val="28"/>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3z3">
    <w:name w:val="WW8Num93z3"/>
    <w:qFormat/>
    <w:rPr>
      <w:rFonts w:ascii="Symbol" w:hAnsi="Symbol" w:cs="Symbol"/>
    </w:rPr>
  </w:style>
  <w:style w:type="character" w:styleId="WW8Num94z0">
    <w:name w:val="WW8Num94z0"/>
    <w:qFormat/>
    <w:rPr>
      <w:rFonts w:ascii="Symbol" w:hAnsi="Symbol" w:cs="Symbol"/>
    </w:rPr>
  </w:style>
  <w:style w:type="character" w:styleId="WW8NumSt63z0">
    <w:name w:val="WW8NumSt6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emailstyle15">
    <w:name w:val="emailstyle15"/>
    <w:basedOn w:val="DefaultParagraphFont"/>
    <w:qFormat/>
    <w:rPr>
      <w:rFonts w:ascii="Arial" w:hAnsi="Arial" w:cs="Arial"/>
      <w:color w:val="000000"/>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paragraph" w:styleId="Footer">
    <w:name w:val="footer"/>
    <w:basedOn w:val="Normal"/>
    <w:pPr>
      <w:tabs>
        <w:tab w:val="clear" w:pos="720"/>
        <w:tab w:val="center" w:pos="4320" w:leader="none"/>
        <w:tab w:val="right" w:pos="8640" w:leader="none"/>
      </w:tabs>
    </w:pPr>
    <w:rPr>
      <w:sz w:val="20"/>
      <w:szCs w:val="20"/>
    </w:rPr>
  </w:style>
  <w:style w:type="paragraph" w:styleId="BodyText2">
    <w:name w:val="Body Text 2"/>
    <w:basedOn w:val="Normal"/>
    <w:qFormat/>
    <w:pPr>
      <w:autoSpaceDE w:val="false"/>
      <w:spacing w:lineRule="atLeast" w:line="240"/>
    </w:pPr>
    <w:rPr>
      <w:color w:val="000000"/>
    </w:rPr>
  </w:style>
  <w:style w:type="paragraph" w:styleId="BodyText3">
    <w:name w:val="Body Text 3"/>
    <w:basedOn w:val="Normal"/>
    <w:qFormat/>
    <w:pPr>
      <w:autoSpaceDE w:val="false"/>
      <w:spacing w:lineRule="atLeast" w:line="240"/>
      <w:jc w:val="both"/>
    </w:pPr>
    <w:rPr>
      <w:color w:val="000000"/>
    </w:rPr>
  </w:style>
  <w:style w:type="paragraph" w:styleId="BodyTextIndent">
    <w:name w:val="Body Text Indent"/>
    <w:basedOn w:val="Normal"/>
    <w:pPr>
      <w:autoSpaceDE w:val="false"/>
      <w:spacing w:lineRule="atLeast" w:line="240"/>
      <w:ind w:hanging="0" w:start="360" w:end="0"/>
    </w:pPr>
    <w:rPr>
      <w:color w:val="000000"/>
      <w:szCs w:val="20"/>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tabs>
        <w:tab w:val="clear" w:pos="720"/>
        <w:tab w:val="left" w:pos="360" w:leader="none"/>
      </w:tabs>
      <w:autoSpaceDE w:val="false"/>
      <w:spacing w:lineRule="atLeast" w:line="240"/>
      <w:ind w:hanging="0" w:start="360" w:end="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2001-08-22T00:21:00Z</dcterms:created>
  <dc:creator>etortole</dc:creator>
  <dc:description/>
  <dc:language>en-CA</dc:language>
  <cp:lastModifiedBy>rebeca tortolero</cp:lastModifiedBy>
  <cp:lastPrinted>2001-10-19T17:00:00Z</cp:lastPrinted>
  <dcterms:modified xsi:type="dcterms:W3CDTF">2001-08-22T00:21:00Z</dcterms:modified>
  <cp:revision>2</cp:revision>
  <dc:subject/>
  <dc:title>To:</dc:title>
</cp:coreProperties>
</file>