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July 20,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9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4,742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28,407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678,906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1,231,731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2,197,277,405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12,522,333,014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381,816,198,665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719,524,912,309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33,273,155,740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57,050,779,258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51435</wp:posOffset>
            </wp:positionH>
            <wp:positionV relativeFrom="paragraph">
              <wp:posOffset>109855</wp:posOffset>
            </wp:positionV>
            <wp:extent cx="5829300" cy="325310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5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1,836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4,160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250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4464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314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839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1,777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2,073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8,612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1,142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11,827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85267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85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ind w:hanging="0" w:start="0"/>
        <w:rPr>
          <w:smallCaps/>
        </w:rPr>
      </w:pPr>
      <w:r>
        <w:rPr>
          <w:smallCaps/>
        </w:rPr>
      </w:r>
    </w:p>
    <w:p>
      <w:pPr>
        <w:pStyle w:val="Heading7"/>
        <w:ind w:hanging="0" w:start="0"/>
        <w:rPr>
          <w:smallCaps/>
        </w:rPr>
      </w:pPr>
      <w:r>
        <w:rPr>
          <w:smallCaps/>
        </w:rPr>
        <w:t>Transaction Summary – Continued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90474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90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7"/>
        <w:ind w:hanging="0" w:start="0"/>
        <w:rPr>
          <w:smallCaps/>
        </w:rPr>
      </w:pPr>
      <w:r>
        <w:rPr>
          <w:smallCaps/>
        </w:rPr>
      </w:r>
    </w:p>
    <w:p>
      <w:pPr>
        <w:pStyle w:val="Heading7"/>
        <w:ind w:hanging="0" w:start="0"/>
        <w:rPr>
          <w:smallCaps/>
        </w:rPr>
      </w:pPr>
      <w:r>
        <w:rPr>
          <w:smallCaps/>
        </w:rPr>
      </w:r>
    </w:p>
    <w:p>
      <w:pPr>
        <w:pStyle w:val="Heading7"/>
        <w:ind w:hanging="0" w:start="0"/>
        <w:rPr>
          <w:smallCaps/>
        </w:rPr>
      </w:pPr>
      <w:r>
        <w:rPr>
          <w:smallCaps/>
        </w:rPr>
      </w:r>
    </w:p>
    <w:p>
      <w:pPr>
        <w:pStyle w:val="Heading7"/>
        <w:ind w:hanging="0" w:start="0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Cs/>
        </w:rPr>
      </w:pPr>
      <w:r>
        <w:rPr>
          <w:b/>
          <w:bCs/>
        </w:rPr>
        <w:t>Transaction Summary – Continued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95035" cy="505079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505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b w:val="false"/>
          <w:caps w:val="false"/>
          <w:smallCaps w:val="false"/>
          <w:sz w:val="20"/>
        </w:rPr>
      </w:pPr>
      <w:r>
        <w:rPr>
          <w:b w:val="false"/>
          <w:caps w:val="false"/>
          <w:smallCaps w:val="false"/>
          <w:sz w:val="20"/>
        </w:rPr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45770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375785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37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7" w:name="__RefHeading___Toc495479755"/>
      <w:bookmarkEnd w:id="7"/>
      <w:r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0342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0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</w:r>
      <w:bookmarkStart w:id="8" w:name="__RefHeading___Toc495479756"/>
      <w:bookmarkStart w:id="9" w:name="__RefHeading___Toc495479756"/>
    </w:p>
    <w:p>
      <w:pPr>
        <w:pStyle w:val="MGTRPT-2"/>
        <w:rPr/>
      </w:pPr>
      <w:r>
        <w:rPr/>
      </w:r>
    </w:p>
    <w:p>
      <w:pPr>
        <w:pStyle w:val="MGTRPT-2"/>
        <w:rPr/>
      </w:pPr>
      <w:r>
        <w:rPr/>
      </w:r>
    </w:p>
    <w:p>
      <w:pPr>
        <w:pStyle w:val="MGTRPT-2"/>
        <w:rPr/>
      </w:pPr>
      <w:r>
        <w:rPr/>
      </w:r>
    </w:p>
    <w:p>
      <w:pPr>
        <w:pStyle w:val="MGTRPT-2"/>
        <w:rPr/>
      </w:pPr>
      <w:r>
        <w:rPr/>
      </w:r>
    </w:p>
    <w:p>
      <w:pPr>
        <w:pStyle w:val="MGTRPT-2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MGTRPT-2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10" w:name="__RefHeading___Toc495479756"/>
      <w:r>
        <w:rPr/>
        <w:t xml:space="preserve">Top Customers By Commodity: </w:t>
      </w:r>
      <w:bookmarkEnd w:id="10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5970905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597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rFonts w:eastAsia="Arial"/>
        </w:rPr>
      </w:pPr>
      <w:r>
        <w:rPr>
          <w:rFonts w:eastAsia="Arial"/>
        </w:rPr>
        <w:t xml:space="preserve"> </w:t>
      </w:r>
      <w:r>
        <w:br w:type="page"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2"/>
        <w:rPr>
          <w:b w:val="false"/>
          <w:bCs/>
        </w:rPr>
      </w:pPr>
      <w:r>
        <w:rPr/>
        <w:t>(CONTINUED)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39674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39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48"/>
        <w:gridCol w:w="900"/>
        <w:gridCol w:w="720"/>
        <w:gridCol w:w="900"/>
        <w:gridCol w:w="633"/>
        <w:gridCol w:w="987"/>
        <w:gridCol w:w="618"/>
      </w:tblGrid>
      <w:tr>
        <w:trPr>
          <w:trHeight w:val="297" w:hRule="atLeast"/>
        </w:trPr>
        <w:tc>
          <w:tcPr>
            <w:tcW w:w="5248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>
          <w:trHeight w:val="297" w:hRule="atLeast"/>
        </w:trPr>
        <w:tc>
          <w:tcPr>
            <w:tcW w:w="5248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46646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46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1" w:name="__RefHeading___Toc495479757"/>
      <w:bookmarkEnd w:id="11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590296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90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77583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77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3275330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327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2" w:name="__RefHeading___Toc495479758"/>
      <w:r>
        <w:rPr/>
        <w:t>Application Processing</w:t>
      </w:r>
      <w:bookmarkEnd w:id="12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1,777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2,073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8,612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1,142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11,827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421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Account Manager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3" w:name="__RefHeading___Toc495479759"/>
      <w:bookmarkEnd w:id="13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579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593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13%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4" w:name="__RefHeading___Toc495479760"/>
      <w:bookmarkEnd w:id="14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95035" cy="4709795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470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pt" coordorigin="-1440,4304" coordsize="13695,8984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July 16, 2001- July 20,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xl32">
    <w:name w:val="xl32"/>
    <w:basedOn w:val="Normal"/>
    <w:qFormat/>
    <w:pPr>
      <w:pBdr>
        <w:top w:val="single" w:sz="8" w:space="0" w:color="000000"/>
        <w:left w:val="single" w:sz="4" w:space="0" w:color="000000"/>
      </w:pBdr>
      <w:shd w:fill="000080" w:val="clear"/>
      <w:spacing w:before="100" w:after="100"/>
    </w:pPr>
    <w:rPr>
      <w:rFonts w:eastAsia="Arial Unicode MS" w:cs="Arial"/>
      <w:b/>
      <w:bCs/>
      <w:color w:val="FFFFFF"/>
      <w:sz w:val="22"/>
      <w:szCs w:val="22"/>
    </w:rPr>
  </w:style>
  <w:style w:type="paragraph" w:styleId="xl33">
    <w:name w:val="xl33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4">
    <w:name w:val="xl3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5">
    <w:name w:val="xl35"/>
    <w:basedOn w:val="Normal"/>
    <w:qFormat/>
    <w:pPr>
      <w:pBdr>
        <w:left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6">
    <w:name w:val="xl36"/>
    <w:basedOn w:val="Normal"/>
    <w:qFormat/>
    <w:pP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7">
    <w:name w:val="xl37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8">
    <w:name w:val="xl38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9">
    <w:name w:val="xl39"/>
    <w:basedOn w:val="Normal"/>
    <w:qFormat/>
    <w:pP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0">
    <w:name w:val="xl40"/>
    <w:basedOn w:val="Normal"/>
    <w:qFormat/>
    <w:pPr>
      <w:pBdr>
        <w:right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1">
    <w:name w:val="xl41"/>
    <w:basedOn w:val="Normal"/>
    <w:qFormat/>
    <w:pPr>
      <w:pBdr>
        <w:left w:val="single" w:sz="8" w:space="0" w:color="000000"/>
        <w:bottom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42">
    <w:name w:val="xl42"/>
    <w:basedOn w:val="Normal"/>
    <w:qFormat/>
    <w:pPr>
      <w:pBdr>
        <w:bottom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43">
    <w:name w:val="xl43"/>
    <w:basedOn w:val="Normal"/>
    <w:qFormat/>
    <w:pPr>
      <w:pBdr>
        <w:left w:val="single" w:sz="8" w:space="0" w:color="000000"/>
        <w:bottom w:val="single" w:sz="8" w:space="0" w:color="000000"/>
      </w:pBdr>
      <w:shd w:fill="333399" w:val="clear"/>
      <w:spacing w:before="100" w:after="100"/>
      <w:jc w:val="center"/>
    </w:pPr>
    <w:rPr>
      <w:rFonts w:eastAsia="Arial Unicode MS" w:cs="Arial"/>
      <w:b/>
      <w:bCs/>
      <w:color w:val="FFFFFF"/>
      <w:sz w:val="18"/>
      <w:szCs w:val="18"/>
    </w:rPr>
  </w:style>
  <w:style w:type="paragraph" w:styleId="xl44">
    <w:name w:val="xl44"/>
    <w:basedOn w:val="Normal"/>
    <w:qFormat/>
    <w:pPr>
      <w:pBdr>
        <w:bottom w:val="single" w:sz="8" w:space="0" w:color="000000"/>
        <w:right w:val="single" w:sz="8" w:space="0" w:color="000000"/>
      </w:pBdr>
      <w:shd w:fill="333399" w:val="clear"/>
      <w:spacing w:before="100" w:after="100"/>
      <w:jc w:val="center"/>
    </w:pPr>
    <w:rPr>
      <w:rFonts w:eastAsia="Arial Unicode MS" w:cs="Arial"/>
      <w:b/>
      <w:bCs/>
      <w:color w:val="FFFFFF"/>
      <w:sz w:val="18"/>
      <w:szCs w:val="18"/>
    </w:rPr>
  </w:style>
  <w:style w:type="paragraph" w:styleId="xl45">
    <w:name w:val="xl45"/>
    <w:basedOn w:val="Normal"/>
    <w:qFormat/>
    <w:pPr>
      <w:pBdr>
        <w:bottom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6">
    <w:name w:val="xl46"/>
    <w:basedOn w:val="Normal"/>
    <w:qFormat/>
    <w:pPr>
      <w:pBdr>
        <w:bottom w:val="single" w:sz="8" w:space="0" w:color="000000"/>
        <w:right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2001-07-23T15:44:00Z</dcterms:created>
  <dc:creator>mmotsin</dc:creator>
  <dc:description/>
  <dc:language>en-CA</dc:language>
  <cp:lastModifiedBy>Simone La Rose</cp:lastModifiedBy>
  <cp:lastPrinted>2001-07-23T16:06:00Z</cp:lastPrinted>
  <dcterms:modified xsi:type="dcterms:W3CDTF">2001-07-23T18:41:00Z</dcterms:modified>
  <cp:revision>17</cp:revision>
  <dc:subject/>
  <dc:title> </dc:title>
</cp:coreProperties>
</file>