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July 06,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5,119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20,901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622,654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1,175,479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2,389,450,010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9,446,170,883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356,518,535,670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694,227,249,313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30,721,726,128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54,499,349,646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  <w:lang w:val="en-CA" w:eastAsia="en-CA"/>
        </w:rPr>
      </w:pPr>
      <w:r>
        <w:rPr>
          <w:b/>
          <w:bCs/>
          <w:color w:val="FF0000"/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327025</wp:posOffset>
            </wp:positionH>
            <wp:positionV relativeFrom="paragraph">
              <wp:posOffset>144780</wp:posOffset>
            </wp:positionV>
            <wp:extent cx="5325110" cy="319151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319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1,772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3,891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58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253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4,202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304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826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1,773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2,062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8,471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1,119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11,652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65633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365633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656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814445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81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375785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37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441960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41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1485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1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14415" cy="613029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613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9549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9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33565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33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12205" cy="622808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622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Top Customers By Commodity: LIFE TO DATE</w:t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86537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86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333565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333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1,773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2,062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8,471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1,119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11,652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415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965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Account Manager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593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7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621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12%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54279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54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July 02, 2001- July 06,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xl32">
    <w:name w:val="xl32"/>
    <w:basedOn w:val="Normal"/>
    <w:qFormat/>
    <w:pPr>
      <w:pBdr>
        <w:top w:val="single" w:sz="8" w:space="0" w:color="000000"/>
        <w:left w:val="single" w:sz="4" w:space="0" w:color="000000"/>
      </w:pBdr>
      <w:shd w:fill="000080" w:val="clear"/>
      <w:spacing w:before="100" w:after="100"/>
    </w:pPr>
    <w:rPr>
      <w:rFonts w:eastAsia="Arial Unicode MS" w:cs="Arial"/>
      <w:b/>
      <w:bCs/>
      <w:color w:val="FFFFFF"/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2001-07-09T19:27:00Z</dcterms:created>
  <dc:creator>mmotsin</dc:creator>
  <dc:description/>
  <dc:language>en-CA</dc:language>
  <cp:lastModifiedBy>Simone La Rose</cp:lastModifiedBy>
  <cp:lastPrinted>2001-07-09T16:27:00Z</cp:lastPrinted>
  <dcterms:modified xsi:type="dcterms:W3CDTF">2001-07-09T19:27:00Z</dcterms:modified>
  <cp:revision>2</cp:revision>
  <dc:subject/>
  <dc:title> </dc:title>
</cp:coreProperties>
</file>