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Leslie Reeves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Kim Theriot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Energy Operations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Weekly Highlights for August 27-August 31, 2001</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September 4, 2001</w:t>
            </w:r>
          </w:p>
        </w:tc>
      </w:tr>
    </w:tbl>
    <w:p>
      <w:pPr>
        <w:pStyle w:val="Body"/>
        <w:rPr/>
      </w:pPr>
      <w:r>
        <w:rPr/>
      </w:r>
      <w:bookmarkStart w:id="1" w:name="StartOfMemo"/>
      <w:bookmarkStart w:id="2" w:name="StartOfMemo"/>
      <w:bookmarkEnd w:id="2"/>
    </w:p>
    <w:p>
      <w:pPr>
        <w:pStyle w:val="Normal"/>
        <w:tabs>
          <w:tab w:val="clear" w:pos="540"/>
        </w:tabs>
        <w:overflowPunct w:val="true"/>
        <w:textAlignment w:val="auto"/>
        <w:rPr>
          <w:rFonts w:cs="Arial"/>
          <w:b/>
          <w:bCs/>
          <w:sz w:val="20"/>
          <w:u w:val="single"/>
        </w:rPr>
      </w:pPr>
      <w:r>
        <w:rPr>
          <w:rFonts w:cs="Arial"/>
          <w:b/>
          <w:bCs/>
          <w:sz w:val="20"/>
          <w:u w:val="single"/>
        </w:rPr>
        <w:t>Financial Natural Gas/Liquids/Weather/Paper&amp;Pulp</w:t>
      </w:r>
    </w:p>
    <w:p>
      <w:pPr>
        <w:pStyle w:val="Normal"/>
        <w:tabs>
          <w:tab w:val="clear" w:pos="540"/>
        </w:tabs>
        <w:overflowPunct w:val="true"/>
        <w:textAlignment w:val="auto"/>
        <w:rPr/>
      </w:pPr>
      <w:r>
        <w:rPr/>
        <w:t>Confirmations :                             %EOL:</w:t>
      </w:r>
    </w:p>
    <w:tbl>
      <w:tblPr>
        <w:tblW w:w="3906" w:type="dxa"/>
        <w:jc w:val="start"/>
        <w:tblInd w:w="0" w:type="dxa"/>
        <w:tblLayout w:type="fixed"/>
        <w:tblCellMar>
          <w:top w:w="0" w:type="dxa"/>
          <w:start w:w="108" w:type="dxa"/>
          <w:bottom w:w="0" w:type="dxa"/>
          <w:end w:w="108" w:type="dxa"/>
        </w:tblCellMar>
      </w:tblPr>
      <w:tblGrid>
        <w:gridCol w:w="2268"/>
        <w:gridCol w:w="828"/>
        <w:gridCol w:w="810"/>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Financial Confirms</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9,987</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90%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Counterparty Confirms</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211</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94%</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Total</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cs="Arial"/>
                <w:sz w:val="20"/>
              </w:rPr>
              <w:t>10,198</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90%</w:t>
            </w:r>
          </w:p>
        </w:tc>
      </w:tr>
    </w:tbl>
    <w:p>
      <w:pPr>
        <w:pStyle w:val="Normal"/>
        <w:numPr>
          <w:ilvl w:val="0"/>
          <w:numId w:val="2"/>
        </w:numPr>
        <w:tabs>
          <w:tab w:val="clear" w:pos="540"/>
        </w:tabs>
        <w:overflowPunct w:val="true"/>
        <w:textAlignment w:val="auto"/>
        <w:rPr>
          <w:rFonts w:cs="Arial"/>
          <w:sz w:val="20"/>
        </w:rPr>
      </w:pPr>
      <w:r>
        <w:rPr>
          <w:rFonts w:cs="Arial"/>
          <w:sz w:val="20"/>
        </w:rPr>
        <w:t>Average of 2,040 confirms per day</w:t>
      </w:r>
    </w:p>
    <w:p>
      <w:pPr>
        <w:pStyle w:val="Normal"/>
        <w:numPr>
          <w:ilvl w:val="0"/>
          <w:numId w:val="2"/>
        </w:numPr>
        <w:tabs>
          <w:tab w:val="clear" w:pos="540"/>
        </w:tabs>
        <w:overflowPunct w:val="true"/>
        <w:textAlignment w:val="auto"/>
        <w:rPr>
          <w:rFonts w:cs="Arial"/>
          <w:sz w:val="20"/>
        </w:rPr>
      </w:pPr>
      <w:r>
        <w:rPr>
          <w:rFonts w:cs="Arial"/>
          <w:sz w:val="20"/>
        </w:rPr>
        <w:t>711 Brokered Trades; Average of 142 trades per day</w:t>
      </w:r>
    </w:p>
    <w:p>
      <w:pPr>
        <w:pStyle w:val="Normal"/>
        <w:tabs>
          <w:tab w:val="clear" w:pos="540"/>
        </w:tabs>
        <w:overflowPunct w:val="true"/>
        <w:textAlignment w:val="auto"/>
        <w:rPr>
          <w:rFonts w:cs="Arial"/>
          <w:sz w:val="20"/>
        </w:rPr>
      </w:pPr>
      <w:r>
        <w:rPr>
          <w:rFonts w:cs="Arial"/>
          <w:sz w:val="20"/>
        </w:rPr>
      </w:r>
    </w:p>
    <w:p>
      <w:pPr>
        <w:pStyle w:val="Normal"/>
        <w:tabs>
          <w:tab w:val="clear" w:pos="540"/>
        </w:tabs>
        <w:overflowPunct w:val="true"/>
        <w:textAlignment w:val="auto"/>
        <w:rPr>
          <w:rFonts w:cs="Arial"/>
          <w:b/>
          <w:bCs/>
          <w:sz w:val="20"/>
          <w:u w:val="single"/>
        </w:rPr>
      </w:pPr>
      <w:r>
        <w:rPr>
          <w:rFonts w:cs="Arial"/>
          <w:b/>
          <w:bCs/>
          <w:sz w:val="20"/>
          <w:u w:val="single"/>
        </w:rPr>
        <w:t>Updates:</w:t>
      </w:r>
    </w:p>
    <w:p>
      <w:pPr>
        <w:pStyle w:val="Normal"/>
        <w:numPr>
          <w:ilvl w:val="0"/>
          <w:numId w:val="5"/>
        </w:numPr>
        <w:tabs>
          <w:tab w:val="clear" w:pos="540"/>
        </w:tabs>
        <w:overflowPunct w:val="true"/>
        <w:textAlignment w:val="auto"/>
        <w:rPr>
          <w:rFonts w:cs="Arial"/>
          <w:sz w:val="20"/>
        </w:rPr>
      </w:pPr>
      <w:r>
        <w:rPr>
          <w:rFonts w:cs="Arial"/>
          <w:sz w:val="20"/>
        </w:rPr>
        <w:t>Todd Delahoussaye is working with IT to automate his “Trade Date +1” Report.</w:t>
      </w:r>
    </w:p>
    <w:p>
      <w:pPr>
        <w:pStyle w:val="Normal"/>
        <w:tabs>
          <w:tab w:val="clear" w:pos="540"/>
        </w:tabs>
        <w:overflowPunct w:val="true"/>
        <w:textAlignment w:val="auto"/>
        <w:rPr>
          <w:rFonts w:cs="Arial"/>
          <w:sz w:val="20"/>
        </w:rPr>
      </w:pPr>
      <w:r>
        <w:rPr>
          <w:rFonts w:cs="Arial"/>
          <w:sz w:val="20"/>
        </w:rPr>
      </w:r>
    </w:p>
    <w:p>
      <w:pPr>
        <w:pStyle w:val="Normal"/>
        <w:tabs>
          <w:tab w:val="clear" w:pos="540"/>
        </w:tabs>
        <w:overflowPunct w:val="true"/>
        <w:textAlignment w:val="auto"/>
        <w:rPr/>
      </w:pPr>
      <w:r>
        <w:rPr/>
        <w:t>Physical Gas Confirmations:</w:t>
      </w:r>
    </w:p>
    <w:tbl>
      <w:tblPr>
        <w:tblW w:w="3096" w:type="dxa"/>
        <w:jc w:val="start"/>
        <w:tblInd w:w="0" w:type="dxa"/>
        <w:tblLayout w:type="fixed"/>
        <w:tblCellMar>
          <w:top w:w="0" w:type="dxa"/>
          <w:start w:w="108" w:type="dxa"/>
          <w:bottom w:w="0" w:type="dxa"/>
          <w:end w:w="108" w:type="dxa"/>
        </w:tblCellMar>
      </w:tblPr>
      <w:tblGrid>
        <w:gridCol w:w="2268"/>
        <w:gridCol w:w="828"/>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Physical Confirms</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cs="Arial"/>
                <w:sz w:val="20"/>
              </w:rPr>
              <w:t>10,999</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Counterparty Confirms</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eastAsia="Arial" w:cs="Arial"/>
                <w:sz w:val="20"/>
              </w:rPr>
              <w:t xml:space="preserve">     </w:t>
            </w:r>
            <w:r>
              <w:rPr>
                <w:rFonts w:cs="Arial"/>
                <w:sz w:val="20"/>
              </w:rPr>
              <w:t>825</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b/>
                <w:bCs/>
                <w:sz w:val="20"/>
                <w:u w:val="single"/>
              </w:rPr>
            </w:pPr>
            <w:r>
              <w:rPr>
                <w:rFonts w:cs="Arial"/>
                <w:color w:val="000000"/>
                <w:sz w:val="20"/>
              </w:rPr>
              <w:t>Total</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sz w:val="20"/>
              </w:rPr>
            </w:pPr>
            <w:r>
              <w:rPr>
                <w:rFonts w:cs="Arial"/>
                <w:sz w:val="20"/>
              </w:rPr>
              <w:t>11,824</w:t>
            </w:r>
          </w:p>
        </w:tc>
      </w:tr>
    </w:tbl>
    <w:p>
      <w:pPr>
        <w:pStyle w:val="Normal"/>
        <w:numPr>
          <w:ilvl w:val="0"/>
          <w:numId w:val="2"/>
        </w:numPr>
        <w:tabs>
          <w:tab w:val="clear" w:pos="540"/>
        </w:tabs>
        <w:overflowPunct w:val="true"/>
        <w:textAlignment w:val="auto"/>
        <w:rPr>
          <w:rFonts w:cs="Arial"/>
          <w:sz w:val="20"/>
        </w:rPr>
      </w:pPr>
      <w:r>
        <w:rPr>
          <w:rFonts w:cs="Arial"/>
          <w:sz w:val="20"/>
        </w:rPr>
        <w:t>Average of 2,365 confirms per day</w:t>
      </w:r>
    </w:p>
    <w:p>
      <w:pPr>
        <w:pStyle w:val="Normal"/>
        <w:numPr>
          <w:ilvl w:val="0"/>
          <w:numId w:val="2"/>
        </w:numPr>
        <w:tabs>
          <w:tab w:val="clear" w:pos="540"/>
        </w:tabs>
        <w:overflowPunct w:val="true"/>
        <w:textAlignment w:val="auto"/>
        <w:rPr>
          <w:rFonts w:cs="Arial"/>
          <w:b/>
          <w:bCs/>
          <w:sz w:val="20"/>
        </w:rPr>
      </w:pPr>
      <w:r>
        <w:rPr>
          <w:rFonts w:cs="Arial"/>
          <w:sz w:val="20"/>
        </w:rPr>
        <w:t xml:space="preserve">93% of Confirmations are </w:t>
      </w:r>
      <w:r>
        <w:rPr>
          <w:rFonts w:cs="Arial"/>
          <w:b/>
          <w:bCs/>
          <w:sz w:val="20"/>
        </w:rPr>
        <w:t>EOL</w:t>
      </w:r>
    </w:p>
    <w:p>
      <w:pPr>
        <w:pStyle w:val="Normal"/>
        <w:numPr>
          <w:ilvl w:val="0"/>
          <w:numId w:val="2"/>
        </w:numPr>
        <w:tabs>
          <w:tab w:val="clear" w:pos="540"/>
        </w:tabs>
        <w:overflowPunct w:val="true"/>
        <w:textAlignment w:val="auto"/>
        <w:rPr>
          <w:rFonts w:cs="Arial"/>
          <w:sz w:val="20"/>
        </w:rPr>
      </w:pPr>
      <w:r>
        <w:rPr>
          <w:rFonts w:cs="Arial"/>
          <w:sz w:val="20"/>
        </w:rPr>
        <w:t>87% of the Confirms created for the week have been Executed</w:t>
      </w:r>
    </w:p>
    <w:p>
      <w:pPr>
        <w:pStyle w:val="Normal"/>
        <w:tabs>
          <w:tab w:val="clear" w:pos="540"/>
        </w:tabs>
        <w:overflowPunct w:val="true"/>
        <w:textAlignment w:val="auto"/>
        <w:rPr>
          <w:rFonts w:cs="Arial"/>
          <w:sz w:val="20"/>
        </w:rPr>
      </w:pPr>
      <w:r>
        <w:rPr>
          <w:rFonts w:cs="Arial"/>
          <w:sz w:val="20"/>
        </w:rPr>
      </w:r>
    </w:p>
    <w:p>
      <w:pPr>
        <w:pStyle w:val="Normal"/>
        <w:tabs>
          <w:tab w:val="clear" w:pos="540"/>
        </w:tabs>
        <w:overflowPunct w:val="true"/>
        <w:textAlignment w:val="auto"/>
        <w:rPr>
          <w:rFonts w:cs="Arial"/>
          <w:b/>
          <w:bCs/>
          <w:sz w:val="20"/>
          <w:u w:val="single"/>
        </w:rPr>
      </w:pPr>
      <w:r>
        <w:rPr>
          <w:rFonts w:cs="Arial"/>
          <w:b/>
          <w:bCs/>
          <w:sz w:val="20"/>
          <w:u w:val="single"/>
        </w:rPr>
        <w:t>Updates:</w:t>
      </w:r>
    </w:p>
    <w:p>
      <w:pPr>
        <w:pStyle w:val="Normal"/>
        <w:numPr>
          <w:ilvl w:val="0"/>
          <w:numId w:val="6"/>
        </w:numPr>
        <w:tabs>
          <w:tab w:val="clear" w:pos="540"/>
        </w:tabs>
        <w:overflowPunct w:val="true"/>
        <w:textAlignment w:val="auto"/>
        <w:rPr>
          <w:rFonts w:cs="Arial"/>
          <w:sz w:val="20"/>
        </w:rPr>
      </w:pPr>
      <w:r>
        <w:rPr>
          <w:rFonts w:cs="Arial"/>
          <w:sz w:val="20"/>
        </w:rPr>
        <w:t>Ellen Wallumrod has had a couple of meetings with both IT support for Sitara and DCAFII to discuss suggested updates that will automate and improve the ENA Upstream confirmation process. Fields will need to be added in Sitara for wellhead information which can flow into DCAFII. Depending on the prioritization Geoff Storey gives the update, the Sitara IT team says they could complete their portion in one week. Have not received a time estimate from the DCAFII support team.</w:t>
        <w:br/>
      </w:r>
    </w:p>
    <w:p>
      <w:pPr>
        <w:pStyle w:val="Normal"/>
        <w:numPr>
          <w:ilvl w:val="0"/>
          <w:numId w:val="6"/>
        </w:numPr>
        <w:tabs>
          <w:tab w:val="clear" w:pos="540"/>
        </w:tabs>
        <w:overflowPunct w:val="true"/>
        <w:textAlignment w:val="auto"/>
        <w:rPr>
          <w:rFonts w:cs="Arial"/>
          <w:sz w:val="20"/>
        </w:rPr>
      </w:pPr>
      <w:r>
        <w:rPr>
          <w:rFonts w:cs="Arial"/>
          <w:sz w:val="20"/>
        </w:rPr>
        <w:t xml:space="preserve">We have made an offer to an individual who will take over Bob Bowen’s position. Their main responsibilities will be to coordinate efforts on gathering the required information as well as the preparation of the ENA Upstream confirmations.  Bob Bowen’s last day with the dept. is Sept. 7.  He will be joining the CommodityLogic Team. </w:t>
        <w:tab/>
      </w:r>
    </w:p>
    <w:p>
      <w:pPr>
        <w:pStyle w:val="Subject"/>
        <w:overflowPunct w:val="true"/>
        <w:textAlignment w:val="auto"/>
        <w:rPr>
          <w:rFonts w:cs="Arial"/>
          <w:sz w:val="20"/>
        </w:rPr>
      </w:pPr>
      <w:r>
        <w:rPr>
          <w:rFonts w:cs="Arial"/>
          <w:sz w:val="20"/>
        </w:rPr>
      </w:r>
    </w:p>
    <w:p>
      <w:pPr>
        <w:pStyle w:val="Normal"/>
        <w:tabs>
          <w:tab w:val="clear" w:pos="540"/>
        </w:tabs>
        <w:overflowPunct w:val="true"/>
        <w:textAlignment w:val="auto"/>
        <w:rPr/>
      </w:pPr>
      <w:r>
        <w:rPr/>
        <w:t>Power Confirmations:                 EOL%</w:t>
      </w:r>
    </w:p>
    <w:tbl>
      <w:tblPr>
        <w:tblW w:w="3708" w:type="dxa"/>
        <w:jc w:val="start"/>
        <w:tblInd w:w="0" w:type="dxa"/>
        <w:tblLayout w:type="fixed"/>
        <w:tblCellMar>
          <w:top w:w="0" w:type="dxa"/>
          <w:start w:w="108" w:type="dxa"/>
          <w:bottom w:w="0" w:type="dxa"/>
          <w:end w:w="108" w:type="dxa"/>
        </w:tblCellMar>
      </w:tblPr>
      <w:tblGrid>
        <w:gridCol w:w="2268"/>
        <w:gridCol w:w="720"/>
        <w:gridCol w:w="720"/>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Physical Confirms</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6,925</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eastAsia="Arial" w:cs="Arial"/>
                <w:color w:val="000000"/>
                <w:sz w:val="20"/>
              </w:rPr>
              <w:t xml:space="preserve"> </w:t>
            </w:r>
            <w:r>
              <w:rPr>
                <w:rFonts w:cs="Arial"/>
                <w:color w:val="000000"/>
                <w:sz w:val="20"/>
              </w:rPr>
              <w:t>77%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Financial Confirms</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eastAsia="Arial" w:cs="Arial"/>
                <w:color w:val="000000"/>
                <w:sz w:val="20"/>
              </w:rPr>
              <w:t xml:space="preserve">   </w:t>
            </w:r>
            <w:r>
              <w:rPr>
                <w:rFonts w:cs="Arial"/>
                <w:color w:val="000000"/>
                <w:sz w:val="20"/>
              </w:rPr>
              <w:t>972</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eastAsia="Arial" w:cs="Arial"/>
                <w:color w:val="000000"/>
                <w:sz w:val="20"/>
              </w:rPr>
              <w:t xml:space="preserve"> </w:t>
            </w:r>
            <w:r>
              <w:rPr>
                <w:rFonts w:cs="Arial"/>
                <w:color w:val="000000"/>
                <w:sz w:val="20"/>
              </w:rPr>
              <w:t>92%</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Counterparty Confirms</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eastAsia="Arial" w:cs="Arial"/>
                <w:color w:val="000000"/>
                <w:sz w:val="20"/>
              </w:rPr>
              <w:t xml:space="preserve">   </w:t>
            </w:r>
            <w:r>
              <w:rPr>
                <w:rFonts w:cs="Arial"/>
                <w:color w:val="000000"/>
                <w:sz w:val="20"/>
              </w:rPr>
              <w:t>457</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eastAsia="Arial" w:cs="Arial"/>
                <w:color w:val="000000"/>
                <w:sz w:val="20"/>
              </w:rPr>
              <w:t xml:space="preserve"> </w:t>
            </w:r>
            <w:r>
              <w:rPr>
                <w:rFonts w:cs="Arial"/>
                <w:color w:val="000000"/>
                <w:sz w:val="20"/>
              </w:rPr>
              <w:t>78%</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Total</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cs="Arial"/>
                <w:color w:val="000000"/>
                <w:sz w:val="20"/>
              </w:rPr>
              <w:t>8,354</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540"/>
              </w:tabs>
              <w:overflowPunct w:val="true"/>
              <w:textAlignment w:val="auto"/>
              <w:rPr>
                <w:rFonts w:cs="Arial"/>
                <w:color w:val="000000"/>
                <w:sz w:val="20"/>
              </w:rPr>
            </w:pPr>
            <w:r>
              <w:rPr>
                <w:rFonts w:eastAsia="Arial" w:cs="Arial"/>
                <w:color w:val="000000"/>
                <w:sz w:val="20"/>
              </w:rPr>
              <w:t xml:space="preserve"> </w:t>
            </w:r>
            <w:r>
              <w:rPr>
                <w:rFonts w:cs="Arial"/>
                <w:color w:val="000000"/>
                <w:sz w:val="20"/>
              </w:rPr>
              <w:t>79%</w:t>
            </w:r>
          </w:p>
        </w:tc>
      </w:tr>
    </w:tbl>
    <w:p>
      <w:pPr>
        <w:pStyle w:val="Normal"/>
        <w:numPr>
          <w:ilvl w:val="0"/>
          <w:numId w:val="3"/>
        </w:numPr>
        <w:tabs>
          <w:tab w:val="clear" w:pos="540"/>
        </w:tabs>
        <w:overflowPunct w:val="true"/>
        <w:textAlignment w:val="auto"/>
        <w:rPr>
          <w:rFonts w:cs="Arial"/>
          <w:sz w:val="20"/>
          <w:u w:val="single"/>
        </w:rPr>
      </w:pPr>
      <w:r>
        <w:rPr>
          <w:rFonts w:cs="Arial"/>
          <w:color w:val="000000"/>
          <w:sz w:val="20"/>
        </w:rPr>
        <w:t>Average of 1,671 confirms per day</w:t>
      </w:r>
    </w:p>
    <w:p>
      <w:pPr>
        <w:pStyle w:val="Normal"/>
        <w:numPr>
          <w:ilvl w:val="0"/>
          <w:numId w:val="3"/>
        </w:numPr>
        <w:tabs>
          <w:tab w:val="clear" w:pos="540"/>
        </w:tabs>
        <w:overflowPunct w:val="true"/>
        <w:textAlignment w:val="auto"/>
        <w:rPr>
          <w:rFonts w:cs="Arial"/>
          <w:sz w:val="20"/>
        </w:rPr>
      </w:pPr>
      <w:r>
        <w:rPr>
          <w:rFonts w:cs="Arial"/>
          <w:color w:val="000000"/>
          <w:sz w:val="20"/>
        </w:rPr>
        <w:t xml:space="preserve">1,326 </w:t>
      </w:r>
      <w:r>
        <w:rPr>
          <w:rFonts w:cs="Arial"/>
          <w:sz w:val="20"/>
        </w:rPr>
        <w:t>Brokered Trades; Average of 265 trades per day</w:t>
      </w:r>
    </w:p>
    <w:p>
      <w:pPr>
        <w:pStyle w:val="Normal"/>
        <w:numPr>
          <w:ilvl w:val="0"/>
          <w:numId w:val="3"/>
        </w:numPr>
        <w:tabs>
          <w:tab w:val="clear" w:pos="540"/>
        </w:tabs>
        <w:overflowPunct w:val="true"/>
        <w:textAlignment w:val="auto"/>
        <w:rPr>
          <w:rFonts w:cs="Arial"/>
          <w:sz w:val="20"/>
        </w:rPr>
      </w:pPr>
      <w:r>
        <w:rPr>
          <w:rFonts w:cs="Arial"/>
          <w:sz w:val="20"/>
        </w:rPr>
        <w:t>40% of the Confirms created for the week have been Executed</w:t>
      </w:r>
    </w:p>
    <w:p>
      <w:pPr>
        <w:pStyle w:val="Normal"/>
        <w:numPr>
          <w:ilvl w:val="0"/>
          <w:numId w:val="3"/>
        </w:numPr>
        <w:tabs>
          <w:tab w:val="clear" w:pos="540"/>
        </w:tabs>
        <w:overflowPunct w:val="true"/>
        <w:textAlignment w:val="auto"/>
        <w:rPr>
          <w:rFonts w:cs="Arial"/>
          <w:sz w:val="20"/>
        </w:rPr>
      </w:pPr>
      <w:r>
        <w:rPr>
          <w:rFonts w:cs="Arial"/>
          <w:sz w:val="20"/>
        </w:rPr>
        <w:t>464 Contract numbers manually assigned</w:t>
      </w:r>
    </w:p>
    <w:p>
      <w:pPr>
        <w:pStyle w:val="Normal"/>
        <w:tabs>
          <w:tab w:val="clear" w:pos="540"/>
        </w:tabs>
        <w:overflowPunct w:val="true"/>
        <w:textAlignment w:val="auto"/>
        <w:rPr>
          <w:rFonts w:cs="Arial"/>
          <w:color w:val="000000"/>
          <w:sz w:val="20"/>
        </w:rPr>
      </w:pPr>
      <w:r>
        <w:rPr>
          <w:rFonts w:cs="Arial"/>
          <w:color w:val="000000"/>
          <w:sz w:val="20"/>
        </w:rPr>
      </w:r>
    </w:p>
    <w:p>
      <w:pPr>
        <w:pStyle w:val="BodyText"/>
        <w:ind w:start="360" w:end="0"/>
        <w:rPr>
          <w:rFonts w:cs="Arial"/>
          <w:color w:val="000000"/>
          <w:sz w:val="20"/>
        </w:rPr>
      </w:pPr>
      <w:r>
        <w:rPr>
          <w:rFonts w:cs="Arial"/>
          <w:color w:val="000000"/>
          <w:sz w:val="20"/>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rPr/>
      </w:pPr>
      <w:r>
        <w:rPr/>
      </w:r>
    </w:p>
    <w:p>
      <w:pPr>
        <w:pStyle w:val="Heading1"/>
        <w:ind w:hanging="0" w:start="0"/>
        <w:rPr>
          <w:b/>
          <w:bCs/>
          <w:color w:val="000000"/>
        </w:rPr>
      </w:pPr>
      <w:r>
        <w:rPr>
          <w:b/>
          <w:bCs/>
          <w:color w:val="000000"/>
        </w:rPr>
        <w:t>Global Contracts/Facilities:</w:t>
      </w:r>
    </w:p>
    <w:p>
      <w:pPr>
        <w:pStyle w:val="Normal"/>
        <w:numPr>
          <w:ilvl w:val="0"/>
          <w:numId w:val="4"/>
        </w:numPr>
        <w:rPr>
          <w:rFonts w:cs="Arial"/>
          <w:color w:val="000000"/>
          <w:sz w:val="20"/>
        </w:rPr>
      </w:pPr>
      <w:r>
        <w:rPr>
          <w:rFonts w:cs="Arial"/>
          <w:color w:val="000000"/>
          <w:sz w:val="20"/>
          <w:u w:val="single"/>
        </w:rPr>
        <w:t>EES Contracts Project (Linda Bryan):</w:t>
      </w:r>
      <w:r>
        <w:rPr>
          <w:rFonts w:cs="Arial"/>
          <w:color w:val="000000"/>
          <w:sz w:val="20"/>
        </w:rPr>
        <w:t xml:space="preserve">  To date, 3,508 contracts have been input (total number to be input is pending at this time).</w:t>
      </w:r>
    </w:p>
    <w:p>
      <w:pPr>
        <w:pStyle w:val="Normal"/>
        <w:numPr>
          <w:ilvl w:val="0"/>
          <w:numId w:val="4"/>
        </w:numPr>
        <w:rPr>
          <w:rFonts w:cs="Arial"/>
          <w:color w:val="000000"/>
          <w:sz w:val="20"/>
        </w:rPr>
      </w:pPr>
      <w:r>
        <w:rPr>
          <w:rFonts w:cs="Arial"/>
          <w:color w:val="000000"/>
          <w:sz w:val="20"/>
        </w:rPr>
        <w:t>Stacey Richardson is working with Anderson auditors to provide contract and deal information requested.</w:t>
      </w:r>
    </w:p>
    <w:p>
      <w:pPr>
        <w:pStyle w:val="Normal"/>
        <w:rPr>
          <w:rFonts w:cs="Arial"/>
          <w:color w:val="0000FF"/>
          <w:sz w:val="20"/>
        </w:rPr>
      </w:pPr>
      <w:r>
        <w:rPr>
          <w:rFonts w:cs="Arial"/>
          <w:color w:val="0000FF"/>
          <w:sz w:val="20"/>
        </w:rPr>
      </w:r>
    </w:p>
    <w:p>
      <w:pPr>
        <w:pStyle w:val="Heading1"/>
        <w:ind w:hanging="0" w:start="0"/>
        <w:rPr>
          <w:color w:val="000000"/>
          <w:u w:val="none"/>
        </w:rPr>
      </w:pPr>
      <w:r>
        <w:rPr>
          <w:color w:val="000000"/>
          <w:u w:val="none"/>
        </w:rPr>
        <w:t>New Contracts by Type</w:t>
        <w:tab/>
      </w:r>
    </w:p>
    <w:tbl>
      <w:tblPr>
        <w:tblW w:w="2728" w:type="dxa"/>
        <w:jc w:val="start"/>
        <w:tblInd w:w="0" w:type="dxa"/>
        <w:tblLayout w:type="fixed"/>
        <w:tblCellMar>
          <w:top w:w="0" w:type="dxa"/>
          <w:start w:w="108" w:type="dxa"/>
          <w:bottom w:w="0" w:type="dxa"/>
          <w:end w:w="108" w:type="dxa"/>
        </w:tblCellMar>
      </w:tblPr>
      <w:tblGrid>
        <w:gridCol w:w="2178"/>
        <w:gridCol w:w="550"/>
      </w:tblGrid>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Purchase/Sale/GTC</w:t>
            </w:r>
          </w:p>
        </w:tc>
        <w:tc>
          <w:tcPr>
            <w:tcW w:w="5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384</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Service</w:t>
            </w:r>
          </w:p>
        </w:tc>
        <w:tc>
          <w:tcPr>
            <w:tcW w:w="5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rFonts w:eastAsia="Arial"/>
                <w:color w:val="000000"/>
                <w:u w:val="none"/>
              </w:rPr>
              <w:t xml:space="preserve">  </w:t>
            </w:r>
            <w:r>
              <w:rPr>
                <w:color w:val="000000"/>
                <w:u w:val="none"/>
              </w:rPr>
              <w:t>58</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Financial</w:t>
            </w:r>
          </w:p>
        </w:tc>
        <w:tc>
          <w:tcPr>
            <w:tcW w:w="5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rFonts w:eastAsia="Arial"/>
                <w:color w:val="000000"/>
                <w:u w:val="none"/>
              </w:rPr>
              <w:t xml:space="preserve">  </w:t>
            </w:r>
            <w:r>
              <w:rPr>
                <w:color w:val="000000"/>
                <w:u w:val="none"/>
              </w:rPr>
              <w:t>16</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Other</w:t>
            </w:r>
          </w:p>
        </w:tc>
        <w:tc>
          <w:tcPr>
            <w:tcW w:w="5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rFonts w:eastAsia="Arial"/>
                <w:color w:val="000000"/>
                <w:u w:val="none"/>
              </w:rPr>
              <w:t xml:space="preserve">   </w:t>
            </w:r>
            <w:r>
              <w:rPr>
                <w:color w:val="000000"/>
                <w:u w:val="none"/>
              </w:rPr>
              <w:t>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Total</w:t>
            </w:r>
          </w:p>
        </w:tc>
        <w:tc>
          <w:tcPr>
            <w:tcW w:w="5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459</w:t>
            </w:r>
          </w:p>
        </w:tc>
      </w:tr>
    </w:tbl>
    <w:p>
      <w:pPr>
        <w:pStyle w:val="Heading1"/>
        <w:ind w:hanging="0" w:start="0"/>
        <w:rPr>
          <w:color w:val="000000"/>
          <w:u w:val="none"/>
        </w:rPr>
      </w:pPr>
      <w:r>
        <w:rPr>
          <w:color w:val="000000"/>
          <w:u w:val="none"/>
        </w:rPr>
      </w:r>
    </w:p>
    <w:p>
      <w:pPr>
        <w:pStyle w:val="Heading1"/>
        <w:ind w:hanging="0" w:start="0"/>
        <w:rPr>
          <w:color w:val="000000"/>
          <w:u w:val="none"/>
        </w:rPr>
      </w:pPr>
      <w:r>
        <w:rPr>
          <w:color w:val="000000"/>
          <w:u w:val="none"/>
        </w:rPr>
        <w:t>New/Changes for Facilities</w:t>
      </w:r>
    </w:p>
    <w:tbl>
      <w:tblPr>
        <w:tblW w:w="2628" w:type="dxa"/>
        <w:jc w:val="start"/>
        <w:tblInd w:w="0" w:type="dxa"/>
        <w:tblLayout w:type="fixed"/>
        <w:tblCellMar>
          <w:top w:w="0" w:type="dxa"/>
          <w:start w:w="108" w:type="dxa"/>
          <w:bottom w:w="0" w:type="dxa"/>
          <w:end w:w="108" w:type="dxa"/>
        </w:tblCellMar>
      </w:tblPr>
      <w:tblGrid>
        <w:gridCol w:w="2178"/>
        <w:gridCol w:w="450"/>
      </w:tblGrid>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Central</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14</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East</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13</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West</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rFonts w:eastAsia="Arial"/>
                <w:color w:val="000000"/>
                <w:u w:val="none"/>
              </w:rPr>
              <w:t xml:space="preserve">  </w:t>
            </w:r>
            <w:r>
              <w:rPr>
                <w:color w:val="000000"/>
                <w:u w:val="none"/>
              </w:rPr>
              <w:t>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Texas</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rFonts w:eastAsia="Arial"/>
                <w:color w:val="000000"/>
                <w:u w:val="none"/>
              </w:rPr>
              <w:t xml:space="preserve">  </w:t>
            </w:r>
            <w:r>
              <w:rPr>
                <w:color w:val="000000"/>
                <w:u w:val="none"/>
              </w:rPr>
              <w:t>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Total</w:t>
            </w:r>
          </w:p>
        </w:tc>
        <w:tc>
          <w:tcPr>
            <w:tcW w:w="450" w:type="dxa"/>
            <w:tcBorders>
              <w:top w:val="single" w:sz="4" w:space="0" w:color="000000"/>
              <w:start w:val="single" w:sz="4" w:space="0" w:color="000000"/>
              <w:bottom w:val="single" w:sz="4" w:space="0" w:color="000000"/>
              <w:end w:val="single" w:sz="4" w:space="0" w:color="000000"/>
            </w:tcBorders>
          </w:tcPr>
          <w:p>
            <w:pPr>
              <w:pStyle w:val="Heading1"/>
              <w:ind w:hanging="0" w:start="0"/>
              <w:rPr>
                <w:color w:val="000000"/>
                <w:u w:val="none"/>
              </w:rPr>
            </w:pPr>
            <w:r>
              <w:rPr>
                <w:color w:val="000000"/>
                <w:u w:val="none"/>
              </w:rPr>
              <w:t>28</w:t>
            </w:r>
          </w:p>
        </w:tc>
      </w:tr>
    </w:tbl>
    <w:p>
      <w:pPr>
        <w:pStyle w:val="Normal"/>
        <w:rPr/>
      </w:pPr>
      <w:r>
        <w:rPr/>
      </w:r>
    </w:p>
    <w:p>
      <w:pPr>
        <w:pStyle w:val="Normal"/>
        <w:rPr>
          <w:rFonts w:cs="Arial"/>
          <w:color w:val="000000"/>
          <w:sz w:val="20"/>
        </w:rPr>
      </w:pPr>
      <w:r>
        <w:rPr>
          <w:rFonts w:cs="Arial"/>
          <w:color w:val="000000"/>
          <w:sz w:val="20"/>
        </w:rPr>
        <w:t xml:space="preserve">Contracts Manually Attached to </w:t>
      </w:r>
    </w:p>
    <w:p>
      <w:pPr>
        <w:pStyle w:val="Normal"/>
        <w:rPr>
          <w:rFonts w:cs="Arial"/>
          <w:color w:val="000000"/>
          <w:sz w:val="20"/>
        </w:rPr>
      </w:pPr>
      <w:r>
        <w:rPr>
          <w:rFonts w:cs="Arial"/>
          <w:color w:val="000000"/>
          <w:sz w:val="20"/>
        </w:rPr>
        <w:t>New Deals by Region</w:t>
      </w:r>
    </w:p>
    <w:tbl>
      <w:tblPr>
        <w:tblW w:w="2895" w:type="dxa"/>
        <w:jc w:val="start"/>
        <w:tblInd w:w="0" w:type="dxa"/>
        <w:tblLayout w:type="fixed"/>
        <w:tblCellMar>
          <w:top w:w="0" w:type="dxa"/>
          <w:start w:w="108" w:type="dxa"/>
          <w:bottom w:w="0" w:type="dxa"/>
          <w:end w:w="108" w:type="dxa"/>
        </w:tblCellMar>
      </w:tblPr>
      <w:tblGrid>
        <w:gridCol w:w="2178"/>
        <w:gridCol w:w="717"/>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Central</w:t>
            </w:r>
          </w:p>
        </w:tc>
        <w:tc>
          <w:tcPr>
            <w:tcW w:w="717"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eastAsia="Arial" w:cs="Arial"/>
                <w:color w:val="000000"/>
                <w:sz w:val="20"/>
              </w:rPr>
              <w:t xml:space="preserve">  </w:t>
            </w:r>
            <w:r>
              <w:rPr>
                <w:rFonts w:cs="Arial"/>
                <w:color w:val="000000"/>
                <w:sz w:val="20"/>
              </w:rPr>
              <w:t>886</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East</w:t>
            </w:r>
          </w:p>
        </w:tc>
        <w:tc>
          <w:tcPr>
            <w:tcW w:w="717"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eastAsia="Arial" w:cs="Arial"/>
                <w:color w:val="000000"/>
                <w:sz w:val="20"/>
              </w:rPr>
              <w:t xml:space="preserve">  </w:t>
            </w:r>
            <w:r>
              <w:rPr>
                <w:rFonts w:cs="Arial"/>
                <w:color w:val="000000"/>
                <w:sz w:val="20"/>
              </w:rPr>
              <w:t xml:space="preserve">852  </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West</w:t>
            </w:r>
          </w:p>
        </w:tc>
        <w:tc>
          <w:tcPr>
            <w:tcW w:w="717"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eastAsia="Arial" w:cs="Arial"/>
                <w:color w:val="000000"/>
                <w:sz w:val="20"/>
              </w:rPr>
              <w:t xml:space="preserve">  </w:t>
            </w:r>
            <w:r>
              <w:rPr>
                <w:rFonts w:cs="Arial"/>
                <w:color w:val="000000"/>
                <w:sz w:val="20"/>
              </w:rPr>
              <w:t>382</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Texas</w:t>
            </w:r>
          </w:p>
        </w:tc>
        <w:tc>
          <w:tcPr>
            <w:tcW w:w="717"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eastAsia="Arial" w:cs="Arial"/>
                <w:color w:val="000000"/>
                <w:sz w:val="20"/>
              </w:rPr>
              <w:t xml:space="preserve">    </w:t>
            </w:r>
            <w:r>
              <w:rPr>
                <w:rFonts w:cs="Arial"/>
                <w:color w:val="000000"/>
                <w:sz w:val="20"/>
              </w:rPr>
              <w:t>39</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Total</w:t>
            </w:r>
          </w:p>
        </w:tc>
        <w:tc>
          <w:tcPr>
            <w:tcW w:w="717" w:type="dxa"/>
            <w:tcBorders>
              <w:top w:val="single" w:sz="4" w:space="0" w:color="000000"/>
              <w:start w:val="single" w:sz="4" w:space="0" w:color="000000"/>
              <w:bottom w:val="single" w:sz="4" w:space="0" w:color="000000"/>
              <w:end w:val="single" w:sz="4" w:space="0" w:color="000000"/>
            </w:tcBorders>
          </w:tcPr>
          <w:p>
            <w:pPr>
              <w:pStyle w:val="Normal"/>
              <w:rPr>
                <w:rFonts w:cs="Arial"/>
                <w:color w:val="000000"/>
                <w:sz w:val="20"/>
              </w:rPr>
            </w:pPr>
            <w:r>
              <w:rPr>
                <w:rFonts w:cs="Arial"/>
                <w:color w:val="000000"/>
                <w:sz w:val="20"/>
              </w:rPr>
              <w:t>2,159</w:t>
            </w:r>
          </w:p>
        </w:tc>
      </w:tr>
    </w:tbl>
    <w:p>
      <w:pPr>
        <w:pStyle w:val="CopyList"/>
        <w:rPr/>
      </w:pPr>
      <w:r>
        <w:rPr/>
        <w:t>cc:</w:t>
      </w:r>
    </w:p>
    <w:p>
      <w:pPr>
        <w:pStyle w:val="CopyList"/>
        <w:spacing w:before="0" w:after="0"/>
        <w:rPr/>
      </w:pPr>
      <w:r>
        <w:rPr/>
        <w:t>Bob Hall</w:t>
      </w:r>
    </w:p>
    <w:p>
      <w:pPr>
        <w:pStyle w:val="CopyList"/>
        <w:spacing w:before="0" w:after="0"/>
        <w:rPr/>
      </w:pPr>
      <w:r>
        <w:rPr/>
        <w:t>Melissa Murphy</w:t>
      </w:r>
    </w:p>
    <w:p>
      <w:pPr>
        <w:pStyle w:val="CopyList"/>
        <w:spacing w:before="0" w:after="0"/>
        <w:rPr/>
      </w:pPr>
      <w:r>
        <w:rPr/>
        <w:t>Joe Hunter</w:t>
      </w:r>
    </w:p>
    <w:p>
      <w:pPr>
        <w:pStyle w:val="CopyList"/>
        <w:spacing w:before="0" w:after="0"/>
        <w:rPr/>
      </w:pPr>
      <w:r>
        <w:rPr/>
        <w:t>Ellen Wallumrod</w:t>
      </w:r>
    </w:p>
    <w:p>
      <w:pPr>
        <w:pStyle w:val="CopyList"/>
        <w:spacing w:before="0" w:after="0"/>
        <w:rPr/>
      </w:pPr>
      <w:r>
        <w:rPr/>
        <w:t>Linda Bryan</w:t>
      </w:r>
    </w:p>
    <w:p>
      <w:pPr>
        <w:pStyle w:val="CopyList"/>
        <w:spacing w:before="0" w:after="0"/>
        <w:rPr/>
      </w:pPr>
      <w:r>
        <w:rPr/>
        <w:t>Stacey Richardson</w:t>
      </w:r>
    </w:p>
    <w:p>
      <w:pPr>
        <w:pStyle w:val="CopyList"/>
        <w:spacing w:before="0" w:after="0"/>
        <w:rPr/>
      </w:pPr>
      <w:r>
        <w:rPr/>
        <w:t>Diane Anderson</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textAlignment w:val="auto"/>
      <w:outlineLvl w:val="0"/>
    </w:pPr>
    <w:rPr>
      <w:rFonts w:cs="Arial"/>
      <w:color w:val="FF0000"/>
      <w:sz w:val="20"/>
      <w:u w:val="single"/>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Wingdings" w:hAnsi="Wingdings" w:cs="Wingdings"/>
    </w:rPr>
  </w:style>
  <w:style w:type="character" w:styleId="WW8Num23z4">
    <w:name w:val="WW8Num23z4"/>
    <w:qFormat/>
    <w:rPr>
      <w:rFonts w:ascii="Courier New" w:hAnsi="Courier New" w:cs="Courier New"/>
    </w:rPr>
  </w:style>
  <w:style w:type="character" w:styleId="WW8NumSt18z0">
    <w:name w:val="WW8NumSt1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textAlignment w:val="auto"/>
    </w:pPr>
    <w:rPr>
      <w:rFonts w:cs="Arial"/>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2001-09-06T15:02:00Z</dcterms:created>
  <dc:creator>ktherio</dc:creator>
  <dc:description/>
  <dc:language>en-CA</dc:language>
  <cp:lastModifiedBy>ktherio</cp:lastModifiedBy>
  <cp:lastPrinted>2001-09-06T12:52:00Z</cp:lastPrinted>
  <dcterms:modified xsi:type="dcterms:W3CDTF">2001-09-06T15:30:00Z</dcterms:modified>
  <cp:revision>5</cp:revision>
  <dc:subject/>
  <dc:title>Better, Faster, Simpler Memo </dc:title>
</cp:coreProperties>
</file>