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bCs/>
        </w:rPr>
      </w:pPr>
      <w:r>
        <w:rPr>
          <w:b/>
          <w:bCs/>
        </w:rPr>
        <w:t>Enron Internet Trading</w:t>
      </w:r>
    </w:p>
    <w:p>
      <w:pPr>
        <w:pStyle w:val="Normal"/>
        <w:widowControl/>
        <w:jc w:val="center"/>
        <w:rPr>
          <w:b/>
          <w:bCs/>
        </w:rPr>
      </w:pPr>
      <w:r>
        <w:rPr>
          <w:b/>
          <w:bCs/>
        </w:rPr>
        <w:t>Website Amendment - Notes</w:t>
      </w:r>
    </w:p>
    <w:p>
      <w:pPr>
        <w:pStyle w:val="Normal"/>
        <w:widowControl/>
        <w:rPr/>
      </w:pPr>
      <w:r>
        <w:rPr/>
        <w:t>Enron and Clifford Chance met on 22 June 1999 to discuss the Hypertext Link - Legal Issues (first sent 27 June 1999) advice, the Foreign Jurisdiction Exception Report (first sent 14 June 1999), the Internet Trading: UK Advice Report (first presented 2 June 1999) and the UK Executive Summary and General Issues document (first sent 16 June 1999).  Based on the advice provided in those documents, Enron has requested the following principles be set out for the website technical designers:</w:t>
      </w:r>
    </w:p>
    <w:p>
      <w:pPr>
        <w:pStyle w:val="Heading1"/>
        <w:widowControl/>
        <w:rPr/>
      </w:pPr>
      <w:r>
        <w:rPr>
          <w:b w:val="false"/>
          <w:bCs w:val="false"/>
          <w:sz w:val="20"/>
          <w:szCs w:val="20"/>
        </w:rPr>
        <w:t>1.</w:t>
        <w:tab/>
      </w:r>
      <w:r>
        <w:rPr/>
        <w:t>Electronic Trading Agreement (““ETA””)</w:t>
      </w:r>
    </w:p>
    <w:p>
      <w:pPr>
        <w:pStyle w:val="ListBullet"/>
        <w:widowControl/>
        <w:numPr>
          <w:ilvl w:val="0"/>
          <w:numId w:val="2"/>
        </w:numPr>
        <w:tabs>
          <w:tab w:val="clear" w:pos="360"/>
          <w:tab w:val="left" w:pos="0" w:leader="none"/>
        </w:tabs>
        <w:ind w:hanging="720" w:start="720"/>
        <w:rPr/>
      </w:pPr>
      <w:r>
        <w:rPr/>
        <w:t>On the first occasion that a counterparty uses a password provided to that counterparty after execution of the Password Application (““</w:t>
      </w:r>
      <w:r>
        <w:rPr>
          <w:b/>
          <w:bCs/>
        </w:rPr>
        <w:t>PA</w:t>
      </w:r>
      <w:r>
        <w:rPr/>
        <w:t>””), the counterparty should be presented with the ETA for electronic execution. Entry into the trading areas of the Enron website using a password must only be possible after a user of the password has electronically executed the ETA.</w:t>
      </w:r>
    </w:p>
    <w:p>
      <w:pPr>
        <w:pStyle w:val="ListBullet"/>
        <w:widowControl/>
        <w:numPr>
          <w:ilvl w:val="0"/>
          <w:numId w:val="2"/>
        </w:numPr>
        <w:tabs>
          <w:tab w:val="clear" w:pos="360"/>
          <w:tab w:val="left" w:pos="0" w:leader="none"/>
        </w:tabs>
        <w:ind w:hanging="720" w:start="720"/>
        <w:rPr/>
      </w:pPr>
      <w:r>
        <w:rPr/>
        <w:t xml:space="preserve">Electronic execution must take the form of a positive click on an ““I Accept”” button.  This button must be placed at the bottom of the terms and conditions.  That is, in such a place as to require the counterparty to scroll through the entire terms and conditions. </w:t>
      </w:r>
    </w:p>
    <w:p>
      <w:pPr>
        <w:pStyle w:val="ListBullet"/>
        <w:widowControl/>
        <w:numPr>
          <w:ilvl w:val="0"/>
          <w:numId w:val="2"/>
        </w:numPr>
        <w:tabs>
          <w:tab w:val="clear" w:pos="360"/>
          <w:tab w:val="left" w:pos="0" w:leader="none"/>
        </w:tabs>
        <w:ind w:hanging="720" w:start="720"/>
        <w:rPr/>
      </w:pPr>
      <w:r>
        <w:rPr/>
        <w:t xml:space="preserve">During electronic execution, ^ </w:t>
      </w:r>
      <w:r>
        <w:rPr>
          <w:u w:val="double"/>
        </w:rPr>
        <w:t>if the website is to be designed with</w:t>
      </w:r>
      <w:r>
        <w:rPr/>
        <w:t xml:space="preserve"> the "Enter (¶)" key </w:t>
      </w:r>
      <w:r>
        <w:rPr>
          <w:u w:val="double"/>
        </w:rPr>
        <w:t>predetermined for certain options, then it is recommended that the default response to the pressing of the key</w:t>
      </w:r>
      <w:r>
        <w:rPr/>
        <w:t xml:space="preserve"> be ““I do not Accept””.  </w:t>
      </w:r>
      <w:r>
        <w:rPr>
          <w:u w:val="double"/>
        </w:rPr>
        <w:t>That is, if in examining the ETA the counterparty presses the "Enter (¶)" key, this will result in the terms of the ETA being rejected by the counterparty unless they have previously selected the "I Accept" button.  This position is proposed to minimise the possibility that the ETA is accidentally executed by the counterparty.</w:t>
      </w:r>
      <w:r>
        <w:rPr/>
        <w:t xml:space="preserve">  </w:t>
      </w:r>
    </w:p>
    <w:p>
      <w:pPr>
        <w:pStyle w:val="ListBullet"/>
        <w:widowControl/>
        <w:numPr>
          <w:ilvl w:val="0"/>
          <w:numId w:val="2"/>
        </w:numPr>
        <w:tabs>
          <w:tab w:val="clear" w:pos="360"/>
          <w:tab w:val="left" w:pos="0" w:leader="none"/>
        </w:tabs>
        <w:ind w:hanging="720" w:start="720"/>
        <w:rPr/>
      </w:pPr>
      <w:r>
        <w:rPr/>
        <w:t xml:space="preserve">The counterparty must have the option to print out the ETA before and after execution. </w:t>
      </w:r>
    </w:p>
    <w:p>
      <w:pPr>
        <w:pStyle w:val="ListBullet"/>
        <w:widowControl/>
        <w:numPr>
          <w:ilvl w:val="0"/>
          <w:numId w:val="2"/>
        </w:numPr>
        <w:tabs>
          <w:tab w:val="clear" w:pos="360"/>
          <w:tab w:val="left" w:pos="0" w:leader="none"/>
        </w:tabs>
        <w:ind w:hanging="720" w:start="720"/>
        <w:rPr/>
      </w:pPr>
      <w:r>
        <w:rPr/>
        <w:t xml:space="preserve">In the trading sections of the Enron website, the ETA must be available via a clear hotlink at the bottom of the website.  This hotlink should be represented by the phrase ““Electronic Trading Agreement””.  </w:t>
      </w:r>
    </w:p>
    <w:p>
      <w:pPr>
        <w:pStyle w:val="Heading1"/>
        <w:widowControl/>
        <w:rPr/>
      </w:pPr>
      <w:r>
        <w:rPr>
          <w:b w:val="false"/>
          <w:bCs w:val="false"/>
          <w:sz w:val="20"/>
          <w:szCs w:val="20"/>
        </w:rPr>
        <w:t>2.</w:t>
        <w:tab/>
      </w:r>
      <w:r>
        <w:rPr/>
        <w:t>General Terms and Conditions (““GTCs””)</w:t>
      </w:r>
    </w:p>
    <w:p>
      <w:pPr>
        <w:pStyle w:val="ListBullet"/>
        <w:widowControl/>
        <w:numPr>
          <w:ilvl w:val="0"/>
          <w:numId w:val="2"/>
        </w:numPr>
        <w:tabs>
          <w:tab w:val="clear" w:pos="360"/>
          <w:tab w:val="left" w:pos="0" w:leader="none"/>
        </w:tabs>
        <w:ind w:hanging="720" w:start="720"/>
        <w:rPr/>
      </w:pPr>
      <w:r>
        <w:rPr/>
        <w:t xml:space="preserve">^ </w:t>
      </w:r>
      <w:r>
        <w:rPr>
          <w:u w:val="double"/>
        </w:rPr>
        <w:t>Except in circumstances where a counterparty is operating under a Master Agreement, a</w:t>
      </w:r>
      <w:r>
        <w:rPr/>
        <w:t xml:space="preserve"> counterparty must be prohibited from trading in any commodity until that counterparty has electronically executed a copy of the relevant GTCs.</w:t>
      </w:r>
    </w:p>
    <w:p>
      <w:pPr>
        <w:pStyle w:val="ListBullet"/>
        <w:widowControl/>
        <w:numPr>
          <w:ilvl w:val="0"/>
          <w:numId w:val="2"/>
        </w:numPr>
        <w:tabs>
          <w:tab w:val="clear" w:pos="360"/>
          <w:tab w:val="left" w:pos="0" w:leader="none"/>
        </w:tabs>
        <w:ind w:hanging="720" w:start="720"/>
        <w:rPr/>
      </w:pPr>
      <w:r>
        <w:rPr/>
        <w:t xml:space="preserve">The procedure for execution and printing of the GTCs must be exactly the same as for the ETA under section 1. </w:t>
      </w:r>
    </w:p>
    <w:p>
      <w:pPr>
        <w:pStyle w:val="ListBullet"/>
        <w:widowControl/>
        <w:numPr>
          <w:ilvl w:val="0"/>
          <w:numId w:val="2"/>
        </w:numPr>
        <w:tabs>
          <w:tab w:val="clear" w:pos="360"/>
          <w:tab w:val="left" w:pos="0" w:leader="none"/>
        </w:tabs>
        <w:ind w:hanging="720" w:start="720"/>
        <w:rPr/>
      </w:pPr>
      <w:r>
        <w:rPr/>
        <w:t>A copy of all of the relevant GTCs must be available on the website through a common hotlink entitled ““General Terms and Conditions””.</w:t>
      </w:r>
    </w:p>
    <w:p>
      <w:pPr>
        <w:pStyle w:val="Heading1"/>
        <w:widowControl/>
        <w:rPr/>
      </w:pPr>
      <w:r>
        <w:rPr>
          <w:b w:val="false"/>
          <w:bCs w:val="false"/>
          <w:sz w:val="20"/>
          <w:szCs w:val="20"/>
        </w:rPr>
        <w:t>3.</w:t>
        <w:tab/>
      </w:r>
      <w:r>
        <w:rPr/>
        <w:t>Counteryparty Submitting an Offer/Bid</w:t>
      </w:r>
    </w:p>
    <w:p>
      <w:pPr>
        <w:pStyle w:val="ListBullet"/>
        <w:widowControl/>
        <w:numPr>
          <w:ilvl w:val="0"/>
          <w:numId w:val="2"/>
        </w:numPr>
        <w:tabs>
          <w:tab w:val="clear" w:pos="360"/>
          <w:tab w:val="left" w:pos="0" w:leader="none"/>
        </w:tabs>
        <w:ind w:hanging="720" w:start="720"/>
        <w:rPr/>
      </w:pPr>
      <w:r>
        <w:rPr/>
        <w:t xml:space="preserve">A counterparty's submission of a bid should be a ^ </w:t>
      </w:r>
      <w:r>
        <w:rPr>
          <w:color w:val="FF0000"/>
          <w:u w:val="double"/>
        </w:rPr>
        <w:t xml:space="preserve">two </w:t>
      </w:r>
      <w:r>
        <w:rPr/>
        <w:t>click process.</w:t>
      </w:r>
    </w:p>
    <w:p>
      <w:pPr>
        <w:pStyle w:val="ListBullet"/>
        <w:widowControl/>
        <w:numPr>
          <w:ilvl w:val="0"/>
          <w:numId w:val="2"/>
        </w:numPr>
        <w:tabs>
          <w:tab w:val="clear" w:pos="360"/>
          <w:tab w:val="left" w:pos="0" w:leader="none"/>
        </w:tabs>
        <w:ind w:hanging="720" w:start="720"/>
        <w:rPr>
          <w:color w:val="FF0000"/>
          <w:u w:val="double"/>
        </w:rPr>
      </w:pPr>
      <w:r>
        <w:rPr/>
        <w:t>The first</w:t>
      </w:r>
      <w:r>
        <w:rPr>
          <w:u w:val="double"/>
        </w:rPr>
        <w:t xml:space="preserve"> click is on the price for a particular commodity, chosen from the trading screen presented to the counterparty</w:t>
      </w:r>
      <w:r>
        <w:rPr>
          <w:color w:val="FF0000"/>
          <w:u w:val="double"/>
        </w:rPr>
        <w:t>. and this initial pop-up screen appears</w:t>
      </w:r>
    </w:p>
    <w:p>
      <w:pPr>
        <w:pStyle w:val="ListBullet"/>
        <w:widowControl/>
        <w:numPr>
          <w:ilvl w:val="0"/>
          <w:numId w:val="2"/>
        </w:numPr>
        <w:tabs>
          <w:tab w:val="clear" w:pos="360"/>
          <w:tab w:val="left" w:pos="0" w:leader="none"/>
        </w:tabs>
        <w:ind w:hanging="720" w:start="720"/>
        <w:rPr/>
      </w:pPr>
      <w:r>
        <w:rPr/>
        <w:t xml:space="preserve">The </w:t>
      </w:r>
      <w:r>
        <w:rPr>
          <w:color w:val="FF0000"/>
        </w:rPr>
        <w:t>^ second</w:t>
      </w:r>
      <w:r>
        <w:rPr/>
        <w:t xml:space="preserve"> click is to confirm the sending of the offer by clicking a "Confirm" button (as an alternative to a ^</w:t>
      </w:r>
      <w:r>
        <w:rPr>
          <w:u w:val="double"/>
        </w:rPr>
        <w:t>"Clear")</w:t>
      </w:r>
      <w:r>
        <w:rPr/>
        <w:t xml:space="preserve"> button in a box summarising the offer and prompting for a confirmation.  </w:t>
      </w:r>
      <w:r>
        <w:rPr>
          <w:color w:val="FF0000"/>
        </w:rPr>
        <w:t>This is where we are thinking of “Submit” and “Clear” rather than “Confirm”</w:t>
      </w:r>
    </w:p>
    <w:p>
      <w:pPr>
        <w:pStyle w:val="ListBullet"/>
        <w:widowControl/>
        <w:numPr>
          <w:ilvl w:val="0"/>
          <w:numId w:val="2"/>
        </w:numPr>
        <w:tabs>
          <w:tab w:val="clear" w:pos="360"/>
          <w:tab w:val="left" w:pos="0" w:leader="none"/>
        </w:tabs>
        <w:ind w:hanging="720" w:start="720"/>
        <w:rPr/>
      </w:pPr>
      <w:r>
        <w:rPr/>
        <w:t xml:space="preserve">^ </w:t>
      </w:r>
      <w:r>
        <w:rPr>
          <w:u w:val="double"/>
        </w:rPr>
        <w:t>As per the discussion in section 1, it</w:t>
      </w:r>
      <w:r>
        <w:rPr/>
        <w:t xml:space="preserve"> is recommended that in ^ </w:t>
      </w:r>
      <w:r>
        <w:rPr>
          <w:u w:val="double"/>
        </w:rPr>
        <w:t>the second click</w:t>
      </w:r>
      <w:r>
        <w:rPr/>
        <w:t>, the default response to the pressing of the "Enter (¶)" key be ^</w:t>
      </w:r>
      <w:r>
        <w:rPr>
          <w:u w:val="double"/>
        </w:rPr>
        <w:t>"Clear"</w:t>
      </w:r>
      <w:r>
        <w:rPr/>
        <w:t>.</w:t>
      </w:r>
    </w:p>
    <w:p>
      <w:pPr>
        <w:pStyle w:val="Heading1"/>
        <w:widowControl/>
        <w:rPr/>
      </w:pPr>
      <w:r>
        <w:rPr>
          <w:b w:val="false"/>
          <w:bCs w:val="false"/>
          <w:sz w:val="20"/>
          <w:szCs w:val="20"/>
        </w:rPr>
        <w:t>4.</w:t>
        <w:tab/>
      </w:r>
      <w:r>
        <w:rPr/>
        <w:t>Amendment to GTCs or ETA</w:t>
      </w:r>
    </w:p>
    <w:p>
      <w:pPr>
        <w:pStyle w:val="ListBullet"/>
        <w:widowControl/>
        <w:numPr>
          <w:ilvl w:val="0"/>
          <w:numId w:val="2"/>
        </w:numPr>
        <w:tabs>
          <w:tab w:val="clear" w:pos="360"/>
          <w:tab w:val="left" w:pos="0" w:leader="none"/>
        </w:tabs>
        <w:ind w:hanging="720" w:start="720"/>
        <w:rPr/>
      </w:pPr>
      <w:r>
        <w:rPr/>
        <w:t xml:space="preserve">If the GTCs or ETA are </w:t>
      </w:r>
      <w:r>
        <w:rPr>
          <w:color w:val="0000FF"/>
        </w:rPr>
        <w:t>amended</w:t>
      </w:r>
      <w:r>
        <w:rPr/>
        <w:t xml:space="preserve"> in any way, then the counterparty must execute those new versions prior to any further trading on the website.  </w:t>
      </w:r>
    </w:p>
    <w:p>
      <w:pPr>
        <w:pStyle w:val="ListBullet"/>
        <w:widowControl/>
        <w:numPr>
          <w:ilvl w:val="0"/>
          <w:numId w:val="2"/>
        </w:numPr>
        <w:tabs>
          <w:tab w:val="clear" w:pos="360"/>
          <w:tab w:val="left" w:pos="0" w:leader="none"/>
        </w:tabs>
        <w:ind w:hanging="720" w:start="720"/>
        <w:rPr/>
      </w:pPr>
      <w:r>
        <w:rPr/>
        <w:t>Execution must be as per the process set out in sections 1 and 2.</w:t>
      </w:r>
    </w:p>
    <w:p>
      <w:pPr>
        <w:pStyle w:val="ListBullet"/>
        <w:widowControl/>
        <w:numPr>
          <w:ilvl w:val="0"/>
          <w:numId w:val="2"/>
        </w:numPr>
        <w:tabs>
          <w:tab w:val="clear" w:pos="360"/>
          <w:tab w:val="left" w:pos="0" w:leader="none"/>
        </w:tabs>
        <w:ind w:hanging="720" w:start="720"/>
        <w:rPr/>
      </w:pPr>
      <w:r>
        <w:rPr/>
        <w:t>The hotlink to the ETA and GTCs on the website should be changed to indicate that the relevant agreement has been amended (including the date of amendment).</w:t>
      </w:r>
    </w:p>
    <w:p>
      <w:pPr>
        <w:pStyle w:val="Heading1"/>
        <w:widowControl/>
        <w:rPr/>
      </w:pPr>
      <w:r>
        <w:rPr>
          <w:b w:val="false"/>
          <w:bCs w:val="false"/>
          <w:sz w:val="20"/>
          <w:szCs w:val="20"/>
        </w:rPr>
        <w:t>5.</w:t>
        <w:tab/>
      </w:r>
      <w:r>
        <w:rPr/>
        <w:t>Disclaimer</w:t>
      </w:r>
    </w:p>
    <w:p>
      <w:pPr>
        <w:pStyle w:val="ListBullet"/>
        <w:widowControl/>
        <w:numPr>
          <w:ilvl w:val="0"/>
          <w:numId w:val="2"/>
        </w:numPr>
        <w:tabs>
          <w:tab w:val="clear" w:pos="360"/>
          <w:tab w:val="left" w:pos="0" w:leader="none"/>
        </w:tabs>
        <w:ind w:hanging="720" w:start="720"/>
        <w:rPr/>
      </w:pPr>
      <w:r>
        <w:rPr/>
        <w:t>A disclaimer must be located on the website.  This will contain statements as to:</w:t>
      </w:r>
    </w:p>
    <w:p>
      <w:pPr>
        <w:pStyle w:val="BodyText"/>
        <w:widowControl/>
        <w:numPr>
          <w:ilvl w:val="0"/>
          <w:numId w:val="3"/>
        </w:numPr>
        <w:tabs>
          <w:tab w:val="clear" w:pos="720"/>
          <w:tab w:val="left" w:pos="0" w:leader="none"/>
          <w:tab w:val="left" w:pos="984" w:leader="none"/>
        </w:tabs>
        <w:ind w:hanging="700" w:start="1684" w:end="0"/>
        <w:rPr/>
      </w:pPr>
      <w:r>
        <w:rPr/>
        <w:t>liability limitation;</w:t>
      </w:r>
    </w:p>
    <w:p>
      <w:pPr>
        <w:pStyle w:val="BodyText"/>
        <w:widowControl/>
        <w:numPr>
          <w:ilvl w:val="0"/>
          <w:numId w:val="3"/>
        </w:numPr>
        <w:tabs>
          <w:tab w:val="clear" w:pos="720"/>
          <w:tab w:val="left" w:pos="0" w:leader="none"/>
          <w:tab w:val="left" w:pos="984" w:leader="none"/>
        </w:tabs>
        <w:ind w:hanging="700" w:start="1684" w:end="0"/>
        <w:rPr/>
      </w:pPr>
      <w:r>
        <w:rPr/>
        <w:t>intellectual property rights ownership;</w:t>
      </w:r>
    </w:p>
    <w:p>
      <w:pPr>
        <w:pStyle w:val="BodyText"/>
        <w:widowControl/>
        <w:numPr>
          <w:ilvl w:val="0"/>
          <w:numId w:val="3"/>
        </w:numPr>
        <w:tabs>
          <w:tab w:val="clear" w:pos="720"/>
          <w:tab w:val="left" w:pos="0" w:leader="none"/>
          <w:tab w:val="left" w:pos="984" w:leader="none"/>
        </w:tabs>
        <w:ind w:hanging="700" w:start="1684" w:end="0"/>
        <w:rPr/>
      </w:pPr>
      <w:r>
        <w:rPr/>
        <w:t>data protection;</w:t>
      </w:r>
    </w:p>
    <w:p>
      <w:pPr>
        <w:pStyle w:val="BodyText"/>
        <w:widowControl/>
        <w:numPr>
          <w:ilvl w:val="0"/>
          <w:numId w:val="3"/>
        </w:numPr>
        <w:tabs>
          <w:tab w:val="clear" w:pos="720"/>
          <w:tab w:val="left" w:pos="0" w:leader="none"/>
          <w:tab w:val="left" w:pos="984" w:leader="none"/>
        </w:tabs>
        <w:ind w:hanging="700" w:start="1684" w:end="0"/>
        <w:rPr/>
      </w:pPr>
      <w:r>
        <w:rPr/>
        <w:t>the financial regulatory issue set out in section 6; and</w:t>
      </w:r>
    </w:p>
    <w:p>
      <w:pPr>
        <w:pStyle w:val="BodyText"/>
        <w:widowControl/>
        <w:numPr>
          <w:ilvl w:val="0"/>
          <w:numId w:val="3"/>
        </w:numPr>
        <w:tabs>
          <w:tab w:val="clear" w:pos="720"/>
          <w:tab w:val="left" w:pos="0" w:leader="none"/>
          <w:tab w:val="left" w:pos="984" w:leader="none"/>
        </w:tabs>
        <w:ind w:hanging="360" w:start="1684" w:end="0"/>
        <w:rPr/>
      </w:pPr>
      <w:r>
        <w:rPr/>
        <w:t>the provision of hotlinks.</w:t>
      </w:r>
    </w:p>
    <w:p>
      <w:pPr>
        <w:pStyle w:val="Normal"/>
        <w:widowControl/>
        <w:ind w:start="360" w:end="0"/>
        <w:rPr/>
      </w:pPr>
      <w:r>
        <w:rPr/>
        <w:t xml:space="preserve">Clifford Chance will draft this disclaimer and provide shortly. </w:t>
      </w:r>
    </w:p>
    <w:p>
      <w:pPr>
        <w:pStyle w:val="ListBullet"/>
        <w:widowControl/>
        <w:numPr>
          <w:ilvl w:val="0"/>
          <w:numId w:val="2"/>
        </w:numPr>
        <w:tabs>
          <w:tab w:val="clear" w:pos="360"/>
          <w:tab w:val="left" w:pos="0" w:leader="none"/>
        </w:tabs>
        <w:ind w:hanging="720" w:start="720"/>
        <w:rPr>
          <w:color w:val="FF0000"/>
        </w:rPr>
      </w:pPr>
      <w:r>
        <w:rPr/>
        <w:t xml:space="preserve">A ^ disclaimer must be available from both the opening page and trading sections of the website </w:t>
      </w:r>
      <w:r>
        <w:rPr>
          <w:u w:val="double"/>
        </w:rPr>
        <w:t>via a hotlink.  It is recommended that the hotlink be</w:t>
      </w:r>
      <w:r>
        <w:rPr/>
        <w:t xml:space="preserve"> under the heading ““Legal &amp; Privacy Information”” </w:t>
      </w:r>
      <w:r>
        <w:rPr>
          <w:u w:val="double"/>
        </w:rPr>
        <w:t>or "Important Legal Information".  Alternatively, the heading can be "Disclaimer".  That said, "Disclaimer" may carry a negative connotation which dissuades counterparties from accessing this important material</w:t>
      </w:r>
      <w:r>
        <w:rPr>
          <w:color w:val="FF0000"/>
        </w:rPr>
        <w:t>. I like the “important legal information”</w:t>
      </w:r>
    </w:p>
    <w:p>
      <w:pPr>
        <w:pStyle w:val="ListBullet"/>
        <w:widowControl/>
        <w:numPr>
          <w:ilvl w:val="0"/>
          <w:numId w:val="2"/>
        </w:numPr>
        <w:tabs>
          <w:tab w:val="clear" w:pos="360"/>
          <w:tab w:val="left" w:pos="0" w:leader="none"/>
        </w:tabs>
        <w:ind w:hanging="720" w:start="720"/>
        <w:rPr/>
      </w:pPr>
      <w:r>
        <w:rPr/>
        <w:t>We also include below in section 8 relevant variations from this disclaimer for specific jurisdictions ie the place of jurisdiction of the counterparty.</w:t>
      </w:r>
    </w:p>
    <w:p>
      <w:pPr>
        <w:pStyle w:val="Heading1"/>
        <w:widowControl/>
        <w:rPr/>
      </w:pPr>
      <w:r>
        <w:rPr>
          <w:b w:val="false"/>
          <w:bCs w:val="false"/>
          <w:sz w:val="20"/>
          <w:szCs w:val="20"/>
        </w:rPr>
        <w:t>6.</w:t>
        <w:tab/>
      </w:r>
      <w:r>
        <w:rPr/>
        <w:t>Finance Regulatory Issues</w:t>
      </w:r>
    </w:p>
    <w:p>
      <w:pPr>
        <w:pStyle w:val="Normal"/>
        <w:widowControl/>
        <w:rPr/>
      </w:pPr>
      <w:r>
        <w:rPr/>
        <w:t xml:space="preserve">In addition to the disclaimer in section 5, a statement regarding the relationship between Enron Energy Finance &amp; Trading Limited (EEFT) and Enron Capital &amp; Trade Resources International Corporation (ECTRI) should be included in a prominent place on every page of the website used for entering into a trade.  This wording needs to make it clear that the transaction will be entered to by EEFT on behalf of ECTRI or the other relevant entities. ^ </w:t>
      </w:r>
      <w:r>
        <w:rPr>
          <w:u w:val="double"/>
        </w:rPr>
        <w:t>Final advice on the location and</w:t>
      </w:r>
      <w:r>
        <w:rPr/>
        <w:t xml:space="preserve"> wording ^ </w:t>
      </w:r>
      <w:r>
        <w:rPr>
          <w:u w:val="double"/>
        </w:rPr>
        <w:t>of this statement will be given once Clifford Chance has assessed further the layout of the website and the regulatory implications.</w:t>
      </w:r>
    </w:p>
    <w:p>
      <w:pPr>
        <w:pStyle w:val="Heading1"/>
        <w:widowControl/>
        <w:rPr/>
      </w:pPr>
      <w:r>
        <w:rPr>
          <w:b w:val="false"/>
          <w:bCs w:val="false"/>
          <w:sz w:val="20"/>
          <w:szCs w:val="20"/>
        </w:rPr>
        <w:t>7.</w:t>
        <w:tab/>
      </w:r>
      <w:r>
        <w:rPr/>
        <w:t>Encryption</w:t>
      </w:r>
    </w:p>
    <w:p>
      <w:pPr>
        <w:pStyle w:val="Normal"/>
        <w:widowControl/>
        <w:rPr/>
      </w:pPr>
      <w:r>
        <w:rPr/>
        <w:t>Encryption or other secure server password techniques are to be employed by Enron to aid in confidentiality, message security and counterparty verification.  Enron is to provide further advice as to the encryption or password protection procedures to be used with the website.  There are a number of regulatory issues that may need to be considered depending on what encryption or secure server technologies are used.  Further advice will be provided by Clifford Chance on request.</w:t>
      </w:r>
    </w:p>
    <w:p>
      <w:pPr>
        <w:pStyle w:val="Heading1"/>
        <w:widowControl/>
        <w:rPr/>
      </w:pPr>
      <w:r>
        <w:rPr>
          <w:b w:val="false"/>
          <w:bCs w:val="false"/>
          <w:sz w:val="20"/>
          <w:szCs w:val="20"/>
        </w:rPr>
        <w:t>8.</w:t>
        <w:tab/>
      </w:r>
      <w:r>
        <w:rPr/>
        <w:t>Individual Jurisdiction Peculiarities</w:t>
      </w:r>
    </w:p>
    <w:p>
      <w:pPr>
        <w:pStyle w:val="Normal"/>
        <w:widowControl/>
        <w:rPr/>
      </w:pPr>
      <w:r>
        <w:rPr/>
        <w:t>In the following jurisdictions, the following additional changes must be made in relation to the website:</w:t>
      </w:r>
    </w:p>
    <w:p>
      <w:pPr>
        <w:pStyle w:val="BodyText"/>
        <w:widowControl/>
        <w:numPr>
          <w:ilvl w:val="0"/>
          <w:numId w:val="4"/>
        </w:numPr>
        <w:tabs>
          <w:tab w:val="clear" w:pos="720"/>
          <w:tab w:val="left" w:pos="0" w:leader="none"/>
        </w:tabs>
        <w:ind w:hanging="1267" w:start="1834" w:end="0"/>
        <w:rPr/>
      </w:pPr>
      <w:r>
        <w:rPr>
          <w:b/>
          <w:bCs/>
        </w:rPr>
        <w:t xml:space="preserve">Belgium </w:t>
      </w:r>
      <w:r>
        <w:rPr/>
        <w:t xml:space="preserve">- the disclaimer on the website for Belgium must include a statement that the website is advertising, using the appropriate words: </w:t>
      </w:r>
      <w:r>
        <w:rPr>
          <w:i/>
          <w:iCs/>
        </w:rPr>
        <w:t>Reclame/publicité</w:t>
      </w:r>
    </w:p>
    <w:p>
      <w:pPr>
        <w:pStyle w:val="BodyText"/>
        <w:keepNext w:val="true"/>
        <w:widowControl/>
        <w:numPr>
          <w:ilvl w:val="0"/>
          <w:numId w:val="4"/>
        </w:numPr>
        <w:tabs>
          <w:tab w:val="clear" w:pos="720"/>
          <w:tab w:val="left" w:pos="0" w:leader="none"/>
        </w:tabs>
        <w:ind w:hanging="1267" w:start="1834" w:end="0"/>
        <w:rPr/>
      </w:pPr>
      <w:r>
        <w:rPr>
          <w:b/>
          <w:bCs/>
        </w:rPr>
        <w:t>Italy</w:t>
      </w:r>
      <w:r>
        <w:rPr/>
        <w:t xml:space="preserve"> - Italian disclaimer must include the following words:</w:t>
      </w:r>
    </w:p>
    <w:p>
      <w:pPr>
        <w:pStyle w:val="BodyText"/>
        <w:keepNext w:val="true"/>
        <w:widowControl/>
        <w:numPr>
          <w:ilvl w:val="0"/>
          <w:numId w:val="0"/>
        </w:numPr>
        <w:ind w:hanging="0" w:start="907" w:end="0"/>
        <w:rPr>
          <w:u w:val="single"/>
        </w:rPr>
      </w:pPr>
      <w:r>
        <w:rPr/>
        <w:t>““</w:t>
      </w:r>
      <w:r>
        <w:rPr>
          <w:i/>
          <w:iCs/>
        </w:rPr>
        <w:t>The website is not and shall not be construed as an offer to buy or sell by Enron””</w:t>
      </w:r>
    </w:p>
    <w:p>
      <w:pPr>
        <w:pStyle w:val="BodyText"/>
        <w:widowControl/>
        <w:numPr>
          <w:ilvl w:val="0"/>
          <w:numId w:val="4"/>
        </w:numPr>
        <w:tabs>
          <w:tab w:val="clear" w:pos="720"/>
          <w:tab w:val="left" w:pos="0" w:leader="none"/>
        </w:tabs>
        <w:ind w:hanging="1267" w:start="1834" w:end="0"/>
        <w:rPr/>
      </w:pPr>
      <w:r>
        <w:rPr>
          <w:b/>
          <w:bCs/>
        </w:rPr>
        <w:t xml:space="preserve">France - </w:t>
      </w:r>
      <w:r>
        <w:rPr/>
        <w:t>currently we understand that availability of this service to French counterparties is being postponed because French law requires the website to be presented in the French language.  Further specific French requirements can be provided at a later time if required;</w:t>
      </w:r>
    </w:p>
    <w:p>
      <w:pPr>
        <w:pStyle w:val="BodyText"/>
        <w:widowControl/>
        <w:numPr>
          <w:ilvl w:val="0"/>
          <w:numId w:val="4"/>
        </w:numPr>
        <w:tabs>
          <w:tab w:val="clear" w:pos="720"/>
          <w:tab w:val="left" w:pos="0" w:leader="none"/>
        </w:tabs>
        <w:ind w:hanging="1267" w:start="1834" w:end="0"/>
        <w:rPr/>
      </w:pPr>
      <w:r>
        <w:rPr>
          <w:b/>
          <w:bCs/>
        </w:rPr>
        <w:t>Portugal</w:t>
      </w:r>
      <w:r>
        <w:rPr/>
        <w:t xml:space="preserve"> - provision of this service to Portuguese counterparties is being postponed because Portuguese law requires certain aspects of the website to be presented in the Portuguese language.  Further specific Portuguese requirements can be provided at a later time if required; and</w:t>
      </w:r>
    </w:p>
    <w:p>
      <w:pPr>
        <w:pStyle w:val="BodyText"/>
        <w:widowControl/>
        <w:numPr>
          <w:ilvl w:val="0"/>
          <w:numId w:val="4"/>
        </w:numPr>
        <w:tabs>
          <w:tab w:val="clear" w:pos="720"/>
          <w:tab w:val="left" w:pos="0" w:leader="none"/>
        </w:tabs>
        <w:ind w:hanging="927" w:start="1834" w:end="0"/>
        <w:rPr/>
      </w:pPr>
      <w:r>
        <w:rPr>
          <w:b/>
          <w:bCs/>
        </w:rPr>
        <w:t>Spain</w:t>
      </w:r>
      <w:r>
        <w:rPr/>
        <w:t xml:space="preserve"> - the entry section of the website must contain a clear representation in Spanish that </w:t>
      </w:r>
      <w:r>
        <w:rPr>
          <w:i/>
          <w:iCs/>
        </w:rPr>
        <w:t>““by entering this website you represent that you are fluent in the English language””.</w:t>
      </w:r>
    </w:p>
    <w:p>
      <w:pPr>
        <w:pStyle w:val="Heading1"/>
        <w:widowControl/>
        <w:rPr/>
      </w:pPr>
      <w:r>
        <w:rPr>
          <w:b w:val="false"/>
          <w:bCs w:val="false"/>
          <w:sz w:val="20"/>
          <w:szCs w:val="20"/>
        </w:rPr>
        <w:t>9.</w:t>
        <w:tab/>
      </w:r>
      <w:r>
        <w:rPr/>
        <w:t>Creation of Hotlinks</w:t>
      </w:r>
    </w:p>
    <w:p>
      <w:pPr>
        <w:pStyle w:val="BodyText"/>
        <w:widowControl/>
        <w:rPr/>
      </w:pPr>
      <w:r>
        <w:rPr/>
        <w:t>In creating hotlinks, the following principles apply:</w:t>
      </w:r>
    </w:p>
    <w:p>
      <w:pPr>
        <w:pStyle w:val="BodyText"/>
        <w:widowControl/>
        <w:numPr>
          <w:ilvl w:val="0"/>
          <w:numId w:val="5"/>
        </w:numPr>
        <w:tabs>
          <w:tab w:val="clear" w:pos="720"/>
          <w:tab w:val="left" w:pos="0" w:leader="none"/>
          <w:tab w:val="left" w:pos="624" w:leader="none"/>
        </w:tabs>
        <w:ind w:hanging="720" w:start="1344" w:end="0"/>
        <w:rPr/>
      </w:pPr>
      <w:r>
        <w:rPr/>
        <w:t>hotlinks to third party websites should be clearly marked or otherwise indicated as relating to third party websites;</w:t>
      </w:r>
    </w:p>
    <w:p>
      <w:pPr>
        <w:pStyle w:val="BodyText"/>
        <w:widowControl/>
        <w:numPr>
          <w:ilvl w:val="0"/>
          <w:numId w:val="5"/>
        </w:numPr>
        <w:tabs>
          <w:tab w:val="clear" w:pos="720"/>
          <w:tab w:val="left" w:pos="0" w:leader="none"/>
          <w:tab w:val="left" w:pos="624" w:leader="none"/>
        </w:tabs>
        <w:ind w:hanging="720" w:start="1344" w:end="0"/>
        <w:rPr/>
      </w:pPr>
      <w:r>
        <w:rPr/>
        <w:t>hotlinks to websites via the use of framing are only permissible after case-by-case review by legal advisers.  Where requested by the owner of the third party website to remove a hotlink for a framed website, such a link should be immediately removed;</w:t>
      </w:r>
    </w:p>
    <w:p>
      <w:pPr>
        <w:pStyle w:val="BodyText"/>
        <w:widowControl/>
        <w:numPr>
          <w:ilvl w:val="0"/>
          <w:numId w:val="5"/>
        </w:numPr>
        <w:tabs>
          <w:tab w:val="clear" w:pos="720"/>
          <w:tab w:val="left" w:pos="0" w:leader="none"/>
          <w:tab w:val="left" w:pos="624" w:leader="none"/>
        </w:tabs>
        <w:ind w:hanging="720" w:start="1344" w:end="0"/>
        <w:rPr/>
      </w:pPr>
      <w:r>
        <w:rPr/>
        <w:t>use of a trade mark of a third party as an icon for a hotlink should only be used after case-by-case review by legal advisers;</w:t>
      </w:r>
    </w:p>
    <w:p>
      <w:pPr>
        <w:pStyle w:val="BodyText"/>
        <w:widowControl/>
        <w:numPr>
          <w:ilvl w:val="0"/>
          <w:numId w:val="5"/>
        </w:numPr>
        <w:tabs>
          <w:tab w:val="clear" w:pos="720"/>
          <w:tab w:val="left" w:pos="0" w:leader="none"/>
          <w:tab w:val="left" w:pos="624" w:leader="none"/>
        </w:tabs>
        <w:ind w:hanging="720" w:start="1344" w:end="0"/>
        <w:rPr/>
      </w:pPr>
      <w:r>
        <w:rPr/>
        <w:t>hotlinks should not be provided to third party websites that involve the trading of, or provision of advice relating to, financial securities, shares or other financial instruments without case-by-case review by legal advisers; and</w:t>
      </w:r>
    </w:p>
    <w:p>
      <w:pPr>
        <w:pStyle w:val="BodyText"/>
        <w:widowControl/>
        <w:numPr>
          <w:ilvl w:val="0"/>
          <w:numId w:val="5"/>
        </w:numPr>
        <w:tabs>
          <w:tab w:val="clear" w:pos="720"/>
          <w:tab w:val="left" w:pos="0" w:leader="none"/>
          <w:tab w:val="left" w:pos="624" w:leader="none"/>
        </w:tabs>
        <w:ind w:hanging="720" w:start="1344" w:end="0"/>
        <w:rPr/>
      </w:pPr>
      <w:r>
        <w:rPr/>
        <w:t>hotlinks to major third party news websites such as Reuters, the Financial Times or CNN should only occur after case-by-case review by legal advisers.  Such links to major news websites should only be effected after:</w:t>
      </w:r>
    </w:p>
    <w:p>
      <w:pPr>
        <w:pStyle w:val="BodyText"/>
        <w:widowControl/>
        <w:numPr>
          <w:ilvl w:val="0"/>
          <w:numId w:val="5"/>
        </w:numPr>
        <w:tabs>
          <w:tab w:val="clear" w:pos="720"/>
          <w:tab w:val="left" w:pos="0" w:leader="none"/>
          <w:tab w:val="left" w:pos="984" w:leader="none"/>
        </w:tabs>
        <w:ind w:hanging="700" w:start="1684" w:end="0"/>
        <w:rPr/>
      </w:pPr>
      <w:r>
        <w:rPr/>
        <w:t>the user terms and conditions for that site have been read;</w:t>
      </w:r>
    </w:p>
    <w:p>
      <w:pPr>
        <w:pStyle w:val="BodyText"/>
        <w:widowControl/>
        <w:numPr>
          <w:ilvl w:val="0"/>
          <w:numId w:val="5"/>
        </w:numPr>
        <w:tabs>
          <w:tab w:val="clear" w:pos="720"/>
          <w:tab w:val="left" w:pos="0" w:leader="none"/>
          <w:tab w:val="left" w:pos="984" w:leader="none"/>
        </w:tabs>
        <w:ind w:hanging="700" w:start="1684" w:end="0"/>
        <w:rPr/>
      </w:pPr>
      <w:r>
        <w:rPr/>
        <w:t>such hotlinking is in compliance with those terms and conditions; and</w:t>
      </w:r>
    </w:p>
    <w:p>
      <w:pPr>
        <w:pStyle w:val="BodyText"/>
        <w:widowControl/>
        <w:numPr>
          <w:ilvl w:val="0"/>
          <w:numId w:val="5"/>
        </w:numPr>
        <w:tabs>
          <w:tab w:val="clear" w:pos="720"/>
          <w:tab w:val="left" w:pos="0" w:leader="none"/>
          <w:tab w:val="left" w:pos="984" w:leader="none"/>
        </w:tabs>
        <w:ind w:hanging="360" w:start="1684" w:end="0"/>
        <w:rPr/>
      </w:pPr>
      <w:r>
        <w:rPr/>
        <w:t>when necessary, the appropriate link licences or content use licences have been entered into.</w:t>
      </w:r>
    </w:p>
    <w:p>
      <w:pPr>
        <w:pStyle w:val="Normal"/>
        <w:widowControl/>
        <w:spacing w:before="0" w:after="0"/>
        <w:rPr>
          <w:b/>
          <w:bCs/>
        </w:rPr>
      </w:pPr>
      <w:r>
        <w:rPr>
          <w:b/>
          <w:bCs/>
        </w:rPr>
        <w:t>Clifford Chance</w:t>
      </w:r>
    </w:p>
    <w:p>
      <w:pPr>
        <w:pStyle w:val="Normal"/>
        <w:widowControl/>
        <w:spacing w:before="0" w:after="0"/>
        <w:rPr>
          <w:b/>
          <w:bCs/>
        </w:rPr>
      </w:pPr>
      <w:r>
        <w:rPr>
          <w:b/>
          <w:bCs/>
        </w:rPr>
        <w:t>23 June 1999</w:t>
      </w:r>
    </w:p>
    <w:p>
      <w:pPr>
        <w:pStyle w:val="Normal"/>
        <w:widowControl/>
        <w:spacing w:before="0" w:after="0"/>
        <w:rPr>
          <w:b/>
          <w:bCs/>
        </w:rPr>
      </w:pPr>
      <w:r>
        <w:rPr>
          <w:b/>
          <w:bCs/>
          <w:u w:val="double"/>
        </w:rPr>
        <w:t>Version 2</w:t>
      </w:r>
    </w:p>
    <w:p>
      <w:pPr>
        <w:pStyle w:val="Normal"/>
        <w:widowControl/>
        <w:spacing w:before="0" w:after="0"/>
        <w:rPr>
          <w:b/>
          <w:bCs/>
        </w:rPr>
      </w:pPr>
      <w:r>
        <w:rPr>
          <w:b/>
          <w:bCs/>
        </w:rPr>
        <w:t>TCH/E3270/00253/CJM</w:t>
      </w:r>
    </w:p>
    <w:p>
      <w:pPr>
        <w:pStyle w:val="BodyText"/>
        <w:widowControl/>
        <w:ind w:start="0" w:end="0"/>
        <w:rPr>
          <w:b/>
          <w:bCs/>
        </w:rPr>
      </w:pPr>
      <w:r>
        <w:rPr>
          <w:b/>
          <w:bCs/>
        </w:rPr>
      </w:r>
    </w:p>
    <w:p>
      <w:pPr>
        <w:pStyle w:val="BodyText"/>
        <w:widowControl/>
        <w:ind w:start="0" w:end="0"/>
        <w:rPr/>
      </w:pPr>
      <w:r>
        <w:rPr/>
      </w:r>
    </w:p>
    <w:p>
      <w:pPr>
        <w:pStyle w:val="BodyText"/>
        <w:widowControl/>
        <w:ind w:start="0" w:end="0"/>
        <w:rPr/>
      </w:pPr>
      <w:r>
        <w:rPr/>
      </w:r>
    </w:p>
    <w:p>
      <w:pPr>
        <w:pStyle w:val="BodyText"/>
        <w:widowControl/>
        <w:ind w:start="0" w:end="0"/>
        <w:rPr/>
      </w:pPr>
      <w:r>
        <w:rPr/>
        <w:t>------------------ COMPARISON OF HEADERS ------------------</w:t>
      </w:r>
    </w:p>
    <w:p>
      <w:pPr>
        <w:pStyle w:val="BodyText"/>
        <w:widowControl/>
        <w:ind w:start="0" w:end="0"/>
        <w:rPr/>
      </w:pPr>
      <w:r>
        <w:rPr/>
      </w:r>
    </w:p>
    <w:p>
      <w:pPr>
        <w:pStyle w:val="BodyText"/>
        <w:widowControl/>
        <w:ind w:start="0" w:end="0"/>
        <w:rPr/>
      </w:pPr>
      <w:r>
        <w:rPr/>
        <w:t>-HEADER 1-</w:t>
      </w:r>
    </w:p>
    <w:p>
      <w:pPr>
        <w:pStyle w:val="BodyText"/>
        <w:widowControl/>
        <w:ind w:start="0" w:end="0"/>
        <w:rPr/>
      </w:pPr>
      <w:r>
        <w:rPr/>
      </w:r>
    </w:p>
    <w:p>
      <w:pPr>
        <w:pStyle w:val="BodyText"/>
        <w:widowControl/>
        <w:ind w:start="0" w:end="0"/>
        <w:rPr/>
      </w:pPr>
      <w:r>
        <w:rPr/>
      </w:r>
    </w:p>
    <w:p>
      <w:pPr>
        <w:pStyle w:val="BodyText"/>
        <w:widowControl/>
        <w:ind w:start="0" w:end="0"/>
        <w:rPr/>
      </w:pPr>
      <w:r>
        <w:rPr/>
        <w:t>-HEADER 2-</w:t>
      </w:r>
    </w:p>
    <w:p>
      <w:pPr>
        <w:pStyle w:val="BodyText"/>
        <w:widowControl/>
        <w:ind w:start="0" w:end="0"/>
        <w:rPr/>
      </w:pPr>
      <w:r>
        <w:rPr/>
        <w:t>Header Discontinued</w:t>
      </w:r>
    </w:p>
    <w:p>
      <w:pPr>
        <w:pStyle w:val="BodyText"/>
        <w:widowControl/>
        <w:ind w:start="0" w:end="0"/>
        <w:rPr/>
      </w:pPr>
      <w:r>
        <w:rPr/>
      </w:r>
    </w:p>
    <w:p>
      <w:pPr>
        <w:pStyle w:val="BodyText"/>
        <w:widowControl/>
        <w:ind w:start="0" w:end="0"/>
        <w:rPr/>
      </w:pPr>
      <w:r>
        <w:rPr/>
        <w:t>-HEADER 3-</w:t>
      </w:r>
    </w:p>
    <w:p>
      <w:pPr>
        <w:pStyle w:val="BodyText"/>
        <w:widowControl/>
        <w:ind w:start="0" w:end="0"/>
        <w:rPr/>
      </w:pPr>
      <w:r>
        <w:rPr/>
        <w:t>Header Discontinued</w:t>
      </w:r>
    </w:p>
    <w:p>
      <w:pPr>
        <w:pStyle w:val="BodyText"/>
        <w:widowControl/>
        <w:ind w:start="0" w:end="0"/>
        <w:rPr/>
      </w:pPr>
      <w:r>
        <w:rPr/>
      </w:r>
    </w:p>
    <w:p>
      <w:pPr>
        <w:pStyle w:val="BodyText"/>
        <w:widowControl/>
        <w:ind w:start="0" w:end="0"/>
        <w:rPr/>
      </w:pPr>
      <w:r>
        <w:rPr/>
      </w:r>
    </w:p>
    <w:p>
      <w:pPr>
        <w:pStyle w:val="BodyText"/>
        <w:widowControl/>
        <w:ind w:start="0" w:end="0"/>
        <w:rPr/>
      </w:pPr>
      <w:r>
        <w:rPr/>
        <w:t>------------------ COMPARISON OF FOOTERS ------------------</w:t>
      </w:r>
    </w:p>
    <w:p>
      <w:pPr>
        <w:pStyle w:val="BodyText"/>
        <w:widowControl/>
        <w:ind w:start="0" w:end="0"/>
        <w:rPr/>
      </w:pPr>
      <w:r>
        <w:rPr/>
      </w:r>
    </w:p>
    <w:p>
      <w:pPr>
        <w:pStyle w:val="BodyText"/>
        <w:widowControl/>
        <w:ind w:start="0" w:end="0"/>
        <w:rPr/>
      </w:pPr>
      <w:r>
        <w:rPr/>
        <w:t>-FOOTER 1-</w:t>
      </w:r>
    </w:p>
    <w:p>
      <w:pPr>
        <w:pStyle w:val="BodyText"/>
        <w:widowControl/>
        <w:ind w:start="0" w:end="0"/>
        <w:rPr/>
      </w:pPr>
      <w:r>
        <w:rPr/>
      </w:r>
    </w:p>
    <w:p>
      <w:pPr>
        <w:pStyle w:val="BodyText"/>
        <w:widowControl/>
        <w:ind w:start="0" w:end="0"/>
        <w:rPr/>
      </w:pPr>
      <w:r>
        <w:rPr/>
      </w:r>
    </w:p>
    <w:p>
      <w:pPr>
        <w:pStyle w:val="BodyText"/>
        <w:widowControl/>
        <w:ind w:start="0" w:end="0"/>
        <w:rPr/>
      </w:pPr>
      <w:r>
        <w:rPr/>
        <w:t>-FOOTER 2-</w:t>
      </w:r>
    </w:p>
    <w:p>
      <w:pPr>
        <w:pStyle w:val="BodyText"/>
        <w:widowControl/>
        <w:ind w:start="0" w:end="0"/>
        <w:rPr/>
      </w:pPr>
      <w:r>
        <w:rPr/>
        <w:t>London-1/376000/02_- 2 -_E3270/00253_</w:t>
      </w:r>
    </w:p>
    <w:p>
      <w:pPr>
        <w:pStyle w:val="BodyText"/>
        <w:widowControl/>
        <w:ind w:start="0" w:end="0"/>
        <w:rPr/>
      </w:pPr>
      <w:r>
        <w:rPr/>
        <w:t>This document is a guide only and should not be used as a substitute for the substantive advice provided by Clifford Chance or each of the foreign counsel.</w:t>
      </w:r>
    </w:p>
    <w:p>
      <w:pPr>
        <w:pStyle w:val="BodyText"/>
        <w:widowControl/>
        <w:ind w:start="0" w:end="0"/>
        <w:rPr/>
      </w:pPr>
      <w:r>
        <w:rPr/>
      </w:r>
    </w:p>
    <w:p>
      <w:pPr>
        <w:pStyle w:val="BodyText"/>
        <w:widowControl/>
        <w:ind w:start="0" w:end="0"/>
        <w:rPr/>
      </w:pPr>
      <w:r>
        <w:rPr/>
        <w:t>-FOOTER 3-</w:t>
      </w:r>
    </w:p>
    <w:p>
      <w:pPr>
        <w:pStyle w:val="BodyText"/>
        <w:widowControl/>
        <w:ind w:start="0" w:end="0"/>
        <w:rPr/>
      </w:pPr>
      <w:r>
        <w:rPr/>
        <w:t>E</w:t>
      </w:r>
    </w:p>
    <w:p>
      <w:pPr>
        <w:pStyle w:val="BodyText"/>
        <w:widowControl/>
        <w:ind w:start="0" w:end="0"/>
        <w:rPr/>
      </w:pPr>
      <w:r>
        <w:rPr/>
      </w:r>
    </w:p>
    <w:p>
      <w:pPr>
        <w:pStyle w:val="BodyText"/>
        <w:widowControl/>
        <w:ind w:start="0" w:end="0"/>
        <w:rPr/>
      </w:pPr>
      <w:r>
        <w:rPr/>
        <w:t xml:space="preserve">This redlined draft, generated by CompareRite (TM) - The Instant Redliner, shows the differences between - </w:t>
      </w:r>
    </w:p>
    <w:p>
      <w:pPr>
        <w:pStyle w:val="BodyText"/>
        <w:widowControl/>
        <w:ind w:start="0" w:end="0"/>
        <w:rPr/>
      </w:pPr>
      <w:r>
        <w:rPr/>
        <w:t>original document   : I:\LONDON-1\008862\824G02!.DOC</w:t>
      </w:r>
    </w:p>
    <w:p>
      <w:pPr>
        <w:pStyle w:val="BodyText"/>
        <w:widowControl/>
        <w:ind w:start="0" w:end="0"/>
        <w:rPr/>
      </w:pPr>
      <w:r>
        <w:rPr/>
        <w:t>and revised document: I:\LONDON-1\008862\824G03!.DOC</w:t>
      </w:r>
    </w:p>
    <w:p>
      <w:pPr>
        <w:pStyle w:val="BodyText"/>
        <w:widowControl/>
        <w:ind w:start="0" w:end="0"/>
        <w:rPr/>
      </w:pPr>
      <w:r>
        <w:rPr/>
      </w:r>
    </w:p>
    <w:p>
      <w:pPr>
        <w:pStyle w:val="BodyText"/>
        <w:widowControl/>
        <w:ind w:start="0" w:end="0"/>
        <w:rPr/>
      </w:pPr>
      <w:r>
        <w:rPr/>
        <w:t>CompareRite found   18 change(s) in the text</w:t>
      </w:r>
    </w:p>
    <w:p>
      <w:pPr>
        <w:pStyle w:val="BodyText"/>
        <w:widowControl/>
        <w:ind w:start="0" w:end="0"/>
        <w:rPr/>
      </w:pPr>
      <w:r>
        <w:rPr/>
        <w:t>CompareRite found    0 change(s) in the notes</w:t>
      </w:r>
    </w:p>
    <w:p>
      <w:pPr>
        <w:pStyle w:val="BodyText"/>
        <w:widowControl/>
        <w:ind w:start="0" w:end="0"/>
        <w:rPr/>
      </w:pPr>
      <w:r>
        <w:rPr/>
      </w:r>
    </w:p>
    <w:p>
      <w:pPr>
        <w:pStyle w:val="BodyText"/>
        <w:widowControl/>
        <w:ind w:start="0" w:end="0"/>
        <w:rPr/>
      </w:pPr>
      <w:r>
        <w:rPr/>
        <w:t xml:space="preserve">Deletions appear as a Normal ^ </w:t>
      </w:r>
    </w:p>
    <w:p>
      <w:pPr>
        <w:pStyle w:val="BodyText"/>
        <w:widowControl/>
        <w:spacing w:before="0" w:after="200"/>
        <w:ind w:start="0" w:end="0"/>
        <w:rPr/>
      </w:pPr>
      <w:r>
        <w:rPr/>
        <w:t xml:space="preserve">Additions appear as Double Underline text </w:t>
      </w:r>
    </w:p>
    <w:sectPr>
      <w:headerReference w:type="default" r:id="rId2"/>
      <w:footerReference w:type="default" r:id="rId3"/>
      <w:type w:val="nextPage"/>
      <w:pgSz w:w="11906" w:h="16838"/>
      <w:pgMar w:left="1701" w:right="1701" w:gutter="0" w:header="720" w:top="1440" w:footer="74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1"/>
    <w:family w:val="roman"/>
    <w:pitch w:val="variable"/>
  </w:font>
  <w:font w:name="Liberation Sans">
    <w:altName w:val="Arial"/>
    <w:charset w:val="01" w:characterSet="utf-8"/>
    <w:family w:val="swiss"/>
    <w:pitch w:val="variable"/>
  </w:font>
  <w:font w:name="Symbol">
    <w:charset w:val="02"/>
    <w:family w:val="roman"/>
    <w:pitch w:val="default"/>
  </w:font>
  <w:font w:name="Wingdings">
    <w:altName w:val="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tcPr>
        <w:p>
          <w:pPr>
            <w:pStyle w:val="Footer"/>
            <w:widowControl/>
            <w:jc w:val="start"/>
            <w:rPr/>
          </w:pPr>
          <w:r>
            <w:rPr/>
            <w:t>London-1/376000/02</w:t>
          </w:r>
        </w:p>
      </w:tc>
      <w:tc>
        <w:tcPr>
          <w:tcW w:w="2900" w:type="dxa"/>
          <w:tcBorders/>
        </w:tcPr>
        <w:p>
          <w:pPr>
            <w:pStyle w:val="Footer"/>
            <w:widowControl/>
            <w:jc w:val="center"/>
            <w:rPr>
              <w:sz w:val="22"/>
              <w:szCs w:val="22"/>
            </w:rPr>
          </w:pPr>
          <w:r>
            <w:rPr>
              <w:sz w:val="22"/>
              <w:szCs w:val="22"/>
            </w:rPr>
            <w:fldChar w:fldCharType="begin"/>
          </w:r>
          <w:r>
            <w:rPr>
              <w:sz w:val="22"/>
              <w:szCs w:val="22"/>
            </w:rPr>
            <w:instrText xml:space="preserve"> IF  "" ""</w:instrText>
          </w:r>
          <w:r>
            <w:rPr>
              <w:sz w:val="22"/>
              <w:szCs w:val="22"/>
            </w:rPr>
            <w:fldChar w:fldCharType="separate"/>
          </w:r>
          <w:r>
            <w:rPr>
              <w:sz w:val="22"/>
              <w:szCs w:val="22"/>
            </w:rPr>
          </w:r>
          <w:r>
            <w:rPr>
              <w:sz w:val="22"/>
              <w:szCs w:val="22"/>
            </w:rPr>
            <w:fldChar w:fldCharType="end"/>
          </w:r>
        </w:p>
      </w:tc>
      <w:tc>
        <w:tcPr>
          <w:tcW w:w="2900" w:type="dxa"/>
          <w:tcBorders/>
        </w:tcPr>
        <w:p>
          <w:pPr>
            <w:pStyle w:val="Footer"/>
            <w:widowControl/>
            <w:jc w:val="end"/>
            <w:rPr/>
          </w:pPr>
          <w:r>
            <w:rPr/>
            <w:t>E3270/00253</w:t>
          </w:r>
        </w:p>
      </w:tc>
    </w:tr>
  </w:tbl>
  <w:p>
    <w:pPr>
      <w:pStyle w:val="Footer"/>
      <w:widowControl/>
      <w:rPr/>
    </w:pPr>
    <w:r>
      <w:rPr/>
    </w:r>
  </w:p>
  <w:p>
    <w:pPr>
      <w:pStyle w:val="Footer"/>
      <w:widowControl/>
      <w:rPr>
        <w:b/>
        <w:bCs/>
        <w:sz w:val="20"/>
        <w:szCs w:val="20"/>
      </w:rPr>
    </w:pPr>
    <w:r>
      <w:rPr>
        <w:b/>
        <w:bCs/>
        <w:sz w:val="20"/>
        <w:szCs w:val="20"/>
      </w:rPr>
      <w:t>This document is a guide only and should not be used as a substitute for the substantive advice provided by Clifford Chance or each of the foreign counsel.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Ø"/>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927"/>
        </w:tabs>
        <w:ind w:start="927" w:hanging="927"/>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uto" w:line="288" w:before="0" w:after="200"/>
      <w:jc w:val="both"/>
    </w:pPr>
    <w:rPr>
      <w:rFonts w:ascii="CG Times" w:hAnsi="CG Times" w:eastAsia="CG Times" w:cs="CG Times"/>
      <w:color w:val="auto"/>
      <w:sz w:val="22"/>
      <w:szCs w:val="22"/>
      <w:lang w:val="en-GB" w:eastAsia="zh-CN" w:bidi="hi-IN"/>
    </w:rPr>
  </w:style>
  <w:style w:type="paragraph" w:styleId="Heading1">
    <w:name w:val="heading 1"/>
    <w:basedOn w:val="Normal"/>
    <w:next w:val="BodyText"/>
    <w:qFormat/>
    <w:pPr>
      <w:keepNext w:val="true"/>
      <w:numPr>
        <w:ilvl w:val="0"/>
        <w:numId w:val="1"/>
      </w:numPr>
      <w:tabs>
        <w:tab w:val="clear" w:pos="720"/>
        <w:tab w:val="left" w:pos="22" w:leader="none"/>
        <w:tab w:val="left" w:pos="624" w:leader="none"/>
      </w:tabs>
      <w:spacing w:before="100" w:after="100"/>
      <w:ind w:hanging="624" w:start="624" w:end="0"/>
      <w:outlineLvl w:val="0"/>
    </w:pPr>
    <w:rPr>
      <w:b/>
      <w:bCs/>
      <w:kern w:val="2"/>
    </w:rPr>
  </w:style>
  <w:style w:type="paragraph" w:styleId="Heading2">
    <w:name w:val="heading 2"/>
    <w:basedOn w:val="Normal"/>
    <w:next w:val="BodyText"/>
    <w:qFormat/>
    <w:pPr>
      <w:numPr>
        <w:ilvl w:val="1"/>
        <w:numId w:val="1"/>
      </w:numPr>
      <w:tabs>
        <w:tab w:val="clear" w:pos="720"/>
        <w:tab w:val="left" w:pos="22" w:leader="none"/>
        <w:tab w:val="left" w:pos="624" w:leader="none"/>
      </w:tabs>
      <w:ind w:hanging="624" w:start="624" w:end="0"/>
      <w:outlineLvl w:val="1"/>
    </w:pPr>
    <w:rPr>
      <w:kern w:val="2"/>
    </w:rPr>
  </w:style>
  <w:style w:type="paragraph" w:styleId="Heading3">
    <w:name w:val="heading 3"/>
    <w:basedOn w:val="Normal"/>
    <w:next w:val="BodyText2"/>
    <w:qFormat/>
    <w:pPr>
      <w:numPr>
        <w:ilvl w:val="2"/>
        <w:numId w:val="1"/>
      </w:numPr>
      <w:tabs>
        <w:tab w:val="clear" w:pos="720"/>
        <w:tab w:val="left" w:pos="50" w:leader="none"/>
        <w:tab w:val="left" w:pos="1417" w:leader="none"/>
      </w:tabs>
      <w:ind w:hanging="793" w:start="1417" w:end="0"/>
      <w:outlineLvl w:val="2"/>
    </w:pPr>
    <w:rPr/>
  </w:style>
  <w:style w:type="paragraph" w:styleId="Heading4">
    <w:name w:val="heading 4"/>
    <w:basedOn w:val="Normal"/>
    <w:next w:val="BodyText3"/>
    <w:qFormat/>
    <w:pPr>
      <w:numPr>
        <w:ilvl w:val="3"/>
        <w:numId w:val="1"/>
      </w:numPr>
      <w:tabs>
        <w:tab w:val="clear" w:pos="720"/>
        <w:tab w:val="left" w:pos="68" w:leader="none"/>
        <w:tab w:val="left" w:pos="1928" w:leader="none"/>
      </w:tabs>
      <w:ind w:hanging="511" w:start="1928" w:end="0"/>
      <w:outlineLvl w:val="3"/>
    </w:pPr>
    <w:rPr/>
  </w:style>
  <w:style w:type="paragraph" w:styleId="Heading5">
    <w:name w:val="heading 5"/>
    <w:basedOn w:val="Normal"/>
    <w:next w:val="BodyText4"/>
    <w:qFormat/>
    <w:pPr>
      <w:numPr>
        <w:ilvl w:val="4"/>
        <w:numId w:val="1"/>
      </w:numPr>
      <w:tabs>
        <w:tab w:val="clear" w:pos="720"/>
        <w:tab w:val="left" w:pos="86" w:leader="none"/>
        <w:tab w:val="left" w:pos="2438" w:leader="none"/>
      </w:tabs>
      <w:ind w:hanging="510" w:start="2438" w:end="0"/>
      <w:outlineLvl w:val="4"/>
    </w:pPr>
    <w:rPr/>
  </w:style>
  <w:style w:type="paragraph" w:styleId="Heading6">
    <w:name w:val="heading 6"/>
    <w:basedOn w:val="Normal"/>
    <w:next w:val="BodyText5"/>
    <w:qFormat/>
    <w:pPr>
      <w:numPr>
        <w:ilvl w:val="5"/>
        <w:numId w:val="1"/>
      </w:numPr>
      <w:tabs>
        <w:tab w:val="clear" w:pos="720"/>
        <w:tab w:val="left" w:pos="104" w:leader="none"/>
        <w:tab w:val="left" w:pos="2948" w:leader="none"/>
      </w:tabs>
      <w:ind w:hanging="510" w:start="2948" w:end="0"/>
      <w:outlineLvl w:val="5"/>
    </w:pPr>
    <w:rPr/>
  </w:style>
  <w:style w:type="paragraph" w:styleId="Heading7">
    <w:name w:val="heading 7"/>
    <w:basedOn w:val="Normal"/>
    <w:next w:val="Normal"/>
    <w:qFormat/>
    <w:pPr>
      <w:numPr>
        <w:ilvl w:val="6"/>
        <w:numId w:val="1"/>
      </w:numPr>
      <w:spacing w:before="0" w:after="0"/>
      <w:outlineLvl w:val="6"/>
    </w:pPr>
    <w:rPr/>
  </w:style>
  <w:style w:type="paragraph" w:styleId="Heading8">
    <w:name w:val="heading 8"/>
    <w:basedOn w:val="Normal"/>
    <w:next w:val="Normal"/>
    <w:qFormat/>
    <w:pPr>
      <w:numPr>
        <w:ilvl w:val="7"/>
        <w:numId w:val="1"/>
      </w:numPr>
      <w:spacing w:before="0" w:after="0"/>
      <w:outlineLvl w:val="7"/>
    </w:pPr>
    <w:rPr/>
  </w:style>
  <w:style w:type="paragraph" w:styleId="Heading9">
    <w:name w:val="heading 9"/>
    <w:basedOn w:val="Normal"/>
    <w:next w:val="Normal"/>
    <w:qFormat/>
    <w:pPr>
      <w:pageBreakBefore/>
      <w:numPr>
        <w:ilvl w:val="8"/>
        <w:numId w:val="1"/>
      </w:numPr>
      <w:tabs>
        <w:tab w:val="clear" w:pos="720"/>
        <w:tab w:val="left" w:pos="0" w:leader="none"/>
        <w:tab w:val="left" w:pos="1440" w:leader="none"/>
      </w:tabs>
      <w:suppressAutoHyphens w:val="true"/>
      <w:spacing w:lineRule="auto" w:line="336" w:before="0" w:after="300"/>
      <w:jc w:val="center"/>
      <w:outlineLvl w:val="8"/>
    </w:pPr>
    <w:rPr>
      <w:b/>
      <w:bCs/>
      <w:smallCaps/>
      <w:sz w:val="21"/>
      <w:szCs w:val="21"/>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EndnoteCharacters">
    <w:name w:val="Endnote Characters"/>
    <w:basedOn w:val="DefaultParagraphFont"/>
    <w:qFormat/>
    <w:rPr>
      <w:rFonts w:ascii="CG Times" w:hAnsi="CG Times" w:eastAsia="CG Times" w:cs="CG Times"/>
      <w:sz w:val="20"/>
      <w:szCs w:val="20"/>
      <w:vertAlign w:val="superscript"/>
    </w:rPr>
  </w:style>
  <w:style w:type="character" w:styleId="FootnoteCharacters">
    <w:name w:val="Footnote Characters"/>
    <w:basedOn w:val="DefaultParagraphFont"/>
    <w:qFormat/>
    <w:rPr>
      <w:rFonts w:ascii="CG Times" w:hAnsi="CG Times" w:eastAsia="CG Times" w:cs="CG Times"/>
      <w:sz w:val="20"/>
      <w:szCs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624"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nnotationText">
    <w:name w:val="Annotation Text"/>
    <w:basedOn w:val="Normal"/>
    <w:qFormat/>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sz w:val="16"/>
      <w:szCs w:val="16"/>
    </w:rPr>
  </w:style>
  <w:style w:type="paragraph" w:styleId="Header">
    <w:name w:val="header"/>
    <w:basedOn w:val="Normal"/>
    <w:pPr>
      <w:spacing w:lineRule="auto" w:line="240" w:before="0" w:after="0"/>
    </w:pPr>
    <w:rPr>
      <w:sz w:val="16"/>
      <w:szCs w:val="16"/>
    </w:rPr>
  </w:style>
  <w:style w:type="paragraph" w:styleId="BodyText2">
    <w:name w:val="Body Text 2"/>
    <w:basedOn w:val="Normal"/>
    <w:qFormat/>
    <w:pPr>
      <w:ind w:hanging="0" w:start="1417" w:end="0"/>
    </w:pPr>
    <w:rPr/>
  </w:style>
  <w:style w:type="paragraph" w:styleId="BodyText3">
    <w:name w:val="Body Text 3"/>
    <w:basedOn w:val="Normal"/>
    <w:qFormat/>
    <w:pPr>
      <w:ind w:hanging="0" w:start="1928" w:end="0"/>
    </w:pPr>
    <w:rPr/>
  </w:style>
  <w:style w:type="paragraph" w:styleId="BodyText4">
    <w:name w:val="Body Text 4"/>
    <w:basedOn w:val="Normal"/>
    <w:qFormat/>
    <w:pPr>
      <w:ind w:hanging="0" w:start="2438" w:end="0"/>
    </w:pPr>
    <w:rPr/>
  </w:style>
  <w:style w:type="paragraph" w:styleId="BodyText5">
    <w:name w:val="Body Text 5"/>
    <w:basedOn w:val="Normal"/>
    <w:qFormat/>
    <w:pPr>
      <w:ind w:hanging="0" w:start="2948" w:end="0"/>
    </w:pPr>
    <w:rPr/>
  </w:style>
  <w:style w:type="paragraph" w:styleId="Signature">
    <w:name w:val="Signature"/>
    <w:basedOn w:val="Normal"/>
    <w:pPr>
      <w:ind w:hanging="0" w:start="4252" w:end="0"/>
    </w:pPr>
    <w:rPr/>
  </w:style>
  <w:style w:type="paragraph" w:styleId="ListAlpha1">
    <w:name w:val="List Alpha 1"/>
    <w:basedOn w:val="Normal"/>
    <w:next w:val="BodyText"/>
    <w:qFormat/>
    <w:pPr>
      <w:tabs>
        <w:tab w:val="clear" w:pos="720"/>
        <w:tab w:val="left" w:pos="22" w:leader="none"/>
        <w:tab w:val="left" w:pos="624" w:leader="none"/>
      </w:tabs>
      <w:ind w:hanging="624" w:start="624" w:end="0"/>
    </w:pPr>
    <w:rPr/>
  </w:style>
  <w:style w:type="paragraph" w:styleId="ListAlpha2">
    <w:name w:val="List Alpha 2"/>
    <w:basedOn w:val="Normal"/>
    <w:next w:val="BodyText2"/>
    <w:qFormat/>
    <w:pPr>
      <w:tabs>
        <w:tab w:val="clear" w:pos="720"/>
        <w:tab w:val="left" w:pos="50" w:leader="none"/>
        <w:tab w:val="left" w:pos="1417" w:leader="none"/>
      </w:tabs>
      <w:ind w:hanging="793" w:start="1417" w:end="0"/>
    </w:pPr>
    <w:rPr/>
  </w:style>
  <w:style w:type="paragraph" w:styleId="ListAlpha3">
    <w:name w:val="List Alpha 3"/>
    <w:basedOn w:val="Normal"/>
    <w:next w:val="BodyText3"/>
    <w:qFormat/>
    <w:pPr>
      <w:tabs>
        <w:tab w:val="clear" w:pos="720"/>
        <w:tab w:val="left" w:pos="68" w:leader="none"/>
        <w:tab w:val="left" w:pos="1928" w:leader="none"/>
      </w:tabs>
      <w:ind w:hanging="511" w:start="1928" w:end="0"/>
    </w:pPr>
    <w:rPr/>
  </w:style>
  <w:style w:type="paragraph" w:styleId="ListALPHACAPS1">
    <w:name w:val="List ALPHA CAPS 1"/>
    <w:basedOn w:val="Normal"/>
    <w:next w:val="BodyText"/>
    <w:qFormat/>
    <w:pPr>
      <w:tabs>
        <w:tab w:val="clear" w:pos="720"/>
        <w:tab w:val="left" w:pos="22" w:leader="none"/>
        <w:tab w:val="left" w:pos="624" w:leader="none"/>
      </w:tabs>
      <w:ind w:hanging="624" w:start="624" w:end="0"/>
    </w:pPr>
    <w:rPr/>
  </w:style>
  <w:style w:type="paragraph" w:styleId="LISTALPHACAPS2">
    <w:name w:val="LIST ALPHA CAPS 2"/>
    <w:basedOn w:val="Normal"/>
    <w:next w:val="BodyText2"/>
    <w:qFormat/>
    <w:pPr>
      <w:tabs>
        <w:tab w:val="clear" w:pos="720"/>
        <w:tab w:val="left" w:pos="50" w:leader="none"/>
        <w:tab w:val="left" w:pos="1417" w:leader="none"/>
      </w:tabs>
      <w:ind w:hanging="793" w:start="1417" w:end="0"/>
    </w:pPr>
    <w:rPr/>
  </w:style>
  <w:style w:type="paragraph" w:styleId="LISTALPHACAPS3">
    <w:name w:val="LIST ALPHA CAPS 3"/>
    <w:basedOn w:val="Normal"/>
    <w:next w:val="BodyText3"/>
    <w:qFormat/>
    <w:pPr>
      <w:tabs>
        <w:tab w:val="clear" w:pos="720"/>
        <w:tab w:val="left" w:pos="68" w:leader="none"/>
        <w:tab w:val="left" w:pos="1928" w:leader="none"/>
      </w:tabs>
      <w:ind w:hanging="511" w:start="1928" w:end="0"/>
    </w:pPr>
    <w:rPr/>
  </w:style>
  <w:style w:type="paragraph" w:styleId="ListArabic1">
    <w:name w:val="List Arabic 1"/>
    <w:basedOn w:val="Normal"/>
    <w:next w:val="BodyText"/>
    <w:qFormat/>
    <w:pPr>
      <w:tabs>
        <w:tab w:val="clear" w:pos="720"/>
        <w:tab w:val="left" w:pos="22" w:leader="none"/>
        <w:tab w:val="left" w:pos="624" w:leader="none"/>
      </w:tabs>
      <w:ind w:hanging="624" w:start="624" w:end="0"/>
    </w:pPr>
    <w:rPr/>
  </w:style>
  <w:style w:type="paragraph" w:styleId="ListArabic2">
    <w:name w:val="List Arabic 2"/>
    <w:basedOn w:val="Normal"/>
    <w:next w:val="BodyText2"/>
    <w:qFormat/>
    <w:pPr>
      <w:tabs>
        <w:tab w:val="clear" w:pos="720"/>
        <w:tab w:val="left" w:pos="50" w:leader="none"/>
        <w:tab w:val="left" w:pos="1417" w:leader="none"/>
      </w:tabs>
      <w:ind w:hanging="793" w:start="1417" w:end="0"/>
    </w:pPr>
    <w:rPr/>
  </w:style>
  <w:style w:type="paragraph" w:styleId="ListArabic3">
    <w:name w:val="List Arabic 3"/>
    <w:basedOn w:val="Normal"/>
    <w:next w:val="BodyText3"/>
    <w:qFormat/>
    <w:pPr>
      <w:tabs>
        <w:tab w:val="clear" w:pos="720"/>
        <w:tab w:val="left" w:pos="68" w:leader="none"/>
        <w:tab w:val="left" w:pos="1928" w:leader="none"/>
      </w:tabs>
      <w:ind w:hanging="511" w:start="1928" w:end="0"/>
    </w:pPr>
    <w:rPr/>
  </w:style>
  <w:style w:type="paragraph" w:styleId="ListArabic4">
    <w:name w:val="List Arabic 4"/>
    <w:basedOn w:val="Normal"/>
    <w:next w:val="BodyText4"/>
    <w:qFormat/>
    <w:pPr>
      <w:tabs>
        <w:tab w:val="clear" w:pos="720"/>
        <w:tab w:val="left" w:pos="86" w:leader="none"/>
        <w:tab w:val="left" w:pos="2438" w:leader="none"/>
      </w:tabs>
      <w:ind w:hanging="510" w:start="2438" w:end="0"/>
    </w:pPr>
    <w:rPr/>
  </w:style>
  <w:style w:type="paragraph" w:styleId="ListLegal1">
    <w:name w:val="List Legal 1"/>
    <w:basedOn w:val="Normal"/>
    <w:next w:val="BodyText"/>
    <w:qFormat/>
    <w:pPr>
      <w:tabs>
        <w:tab w:val="clear" w:pos="720"/>
        <w:tab w:val="left" w:pos="22" w:leader="none"/>
        <w:tab w:val="left" w:pos="624" w:leader="none"/>
      </w:tabs>
      <w:ind w:hanging="624" w:start="624" w:end="0"/>
    </w:pPr>
    <w:rPr/>
  </w:style>
  <w:style w:type="paragraph" w:styleId="ListLegal2">
    <w:name w:val="List Legal 2"/>
    <w:basedOn w:val="Normal"/>
    <w:next w:val="BodyText"/>
    <w:qFormat/>
    <w:pPr>
      <w:tabs>
        <w:tab w:val="clear" w:pos="720"/>
        <w:tab w:val="left" w:pos="22" w:leader="none"/>
        <w:tab w:val="left" w:pos="624" w:leader="none"/>
      </w:tabs>
      <w:ind w:hanging="624" w:start="624" w:end="0"/>
    </w:pPr>
    <w:rPr/>
  </w:style>
  <w:style w:type="paragraph" w:styleId="ListLegal3">
    <w:name w:val="List Legal 3"/>
    <w:basedOn w:val="Normal"/>
    <w:next w:val="BodyText2"/>
    <w:qFormat/>
    <w:pPr>
      <w:tabs>
        <w:tab w:val="clear" w:pos="720"/>
        <w:tab w:val="left" w:pos="50" w:leader="none"/>
        <w:tab w:val="left" w:pos="1417" w:leader="none"/>
      </w:tabs>
      <w:ind w:hanging="793" w:start="1417" w:end="0"/>
    </w:pPr>
    <w:rPr/>
  </w:style>
  <w:style w:type="paragraph" w:styleId="ListRoman1">
    <w:name w:val="List Roman 1"/>
    <w:basedOn w:val="Normal"/>
    <w:next w:val="BodyText"/>
    <w:qFormat/>
    <w:pPr>
      <w:tabs>
        <w:tab w:val="clear" w:pos="720"/>
        <w:tab w:val="left" w:pos="22" w:leader="none"/>
        <w:tab w:val="left" w:pos="624" w:leader="none"/>
      </w:tabs>
      <w:ind w:hanging="624" w:start="624" w:end="0"/>
    </w:pPr>
    <w:rPr/>
  </w:style>
  <w:style w:type="paragraph" w:styleId="ListRoman2">
    <w:name w:val="List Roman 2"/>
    <w:basedOn w:val="Normal"/>
    <w:next w:val="BodyText2"/>
    <w:qFormat/>
    <w:pPr>
      <w:tabs>
        <w:tab w:val="clear" w:pos="720"/>
        <w:tab w:val="left" w:pos="50" w:leader="none"/>
        <w:tab w:val="left" w:pos="1417" w:leader="none"/>
      </w:tabs>
      <w:ind w:hanging="793" w:start="1417" w:end="0"/>
    </w:pPr>
    <w:rPr/>
  </w:style>
  <w:style w:type="paragraph" w:styleId="ListRoman3">
    <w:name w:val="List Roman 3"/>
    <w:basedOn w:val="Normal"/>
    <w:next w:val="BodyText3"/>
    <w:qFormat/>
    <w:pPr>
      <w:tabs>
        <w:tab w:val="clear" w:pos="720"/>
        <w:tab w:val="left" w:pos="68" w:leader="none"/>
        <w:tab w:val="left" w:pos="1928" w:leader="none"/>
      </w:tabs>
      <w:ind w:hanging="511" w:start="1928" w:end="0"/>
    </w:pPr>
    <w:rPr/>
  </w:style>
  <w:style w:type="paragraph" w:styleId="TOC2">
    <w:name w:val="toc 2"/>
    <w:basedOn w:val="Normal"/>
    <w:next w:val="Normal"/>
    <w:pPr/>
    <w:rPr/>
  </w:style>
  <w:style w:type="paragraph" w:styleId="EndnoteText">
    <w:name w:val="endnote text"/>
    <w:basedOn w:val="Normal"/>
    <w:pPr>
      <w:tabs>
        <w:tab w:val="clear" w:pos="720"/>
        <w:tab w:val="left" w:pos="113" w:leader="none"/>
      </w:tabs>
      <w:spacing w:before="0" w:after="100"/>
      <w:ind w:hanging="113" w:start="113" w:end="0"/>
    </w:pPr>
    <w:rPr>
      <w:sz w:val="18"/>
      <w:szCs w:val="18"/>
    </w:rPr>
  </w:style>
  <w:style w:type="paragraph" w:styleId="FootnoteText">
    <w:name w:val="footnote text"/>
    <w:basedOn w:val="Normal"/>
    <w:pPr>
      <w:tabs>
        <w:tab w:val="clear" w:pos="720"/>
        <w:tab w:val="left" w:pos="113" w:leader="none"/>
      </w:tabs>
      <w:spacing w:before="0" w:after="100"/>
      <w:ind w:hanging="113" w:start="113" w:end="0"/>
    </w:pPr>
    <w:rPr>
      <w:sz w:val="18"/>
      <w:szCs w:val="18"/>
    </w:rPr>
  </w:style>
  <w:style w:type="paragraph" w:styleId="NotesAlpha">
    <w:name w:val="Notes Alpha"/>
    <w:basedOn w:val="Normal"/>
    <w:qFormat/>
    <w:pPr>
      <w:tabs>
        <w:tab w:val="clear" w:pos="720"/>
        <w:tab w:val="left" w:pos="624" w:leader="none"/>
      </w:tabs>
      <w:spacing w:before="0" w:after="100"/>
      <w:ind w:hanging="624" w:start="624" w:end="0"/>
    </w:pPr>
    <w:rPr/>
  </w:style>
  <w:style w:type="paragraph" w:styleId="NotesArabic">
    <w:name w:val="Notes Arabic"/>
    <w:basedOn w:val="Normal"/>
    <w:qFormat/>
    <w:pPr>
      <w:tabs>
        <w:tab w:val="clear" w:pos="720"/>
        <w:tab w:val="left" w:pos="624" w:leader="none"/>
      </w:tabs>
      <w:spacing w:before="0" w:after="100"/>
      <w:ind w:hanging="624" w:start="624" w:end="0"/>
    </w:pPr>
    <w:rPr/>
  </w:style>
  <w:style w:type="paragraph" w:styleId="NotesRoman">
    <w:name w:val="Notes Roman"/>
    <w:basedOn w:val="Normal"/>
    <w:qFormat/>
    <w:pPr>
      <w:tabs>
        <w:tab w:val="clear" w:pos="720"/>
        <w:tab w:val="left" w:pos="624" w:leader="none"/>
      </w:tabs>
      <w:spacing w:before="0" w:after="100"/>
      <w:ind w:hanging="624" w:start="624" w:end="0"/>
    </w:pPr>
    <w:rPr/>
  </w:style>
  <w:style w:type="paragraph" w:styleId="RightTab">
    <w:name w:val="Right Tab"/>
    <w:basedOn w:val="Normal"/>
    <w:next w:val="Normal"/>
    <w:qFormat/>
    <w:pPr>
      <w:tabs>
        <w:tab w:val="clear" w:pos="720"/>
        <w:tab w:val="right" w:pos="8505" w:leader="none"/>
      </w:tabs>
      <w:spacing w:before="0" w:after="100"/>
    </w:pPr>
    <w:rPr/>
  </w:style>
  <w:style w:type="paragraph" w:styleId="TOC1">
    <w:name w:val="toc 1"/>
    <w:basedOn w:val="Normal"/>
    <w:next w:val="Normal"/>
    <w:pPr/>
    <w:rPr/>
  </w:style>
  <w:style w:type="paragraph" w:styleId="TOC3">
    <w:name w:val="toc 3"/>
    <w:basedOn w:val="Normal"/>
    <w:next w:val="Normal"/>
    <w:pPr/>
    <w:rPr/>
  </w:style>
  <w:style w:type="paragraph" w:styleId="TOC4">
    <w:name w:val="toc 4"/>
    <w:basedOn w:val="Normal"/>
    <w:next w:val="Normal"/>
    <w:pPr/>
    <w:rPr/>
  </w:style>
  <w:style w:type="paragraph" w:styleId="ListBullet">
    <w:name w:val="List Bullet"/>
    <w:basedOn w:val="Normal"/>
    <w:qFormat/>
    <w:pPr>
      <w:numPr>
        <w:ilvl w:val="0"/>
        <w:numId w:val="2"/>
      </w:numPr>
      <w:tabs>
        <w:tab w:val="clear" w:pos="720"/>
        <w:tab w:val="left" w:pos="360" w:leader="none"/>
      </w:tabs>
      <w:ind w:hanging="360" w:start="360" w:end="0"/>
    </w:pPr>
    <w:rPr/>
  </w:style>
  <w:style w:type="paragraph" w:styleId="PartHeadings">
    <w:name w:val="Part Headings"/>
    <w:basedOn w:val="Normal"/>
    <w:next w:val="Normal"/>
    <w:qFormat/>
    <w:pPr>
      <w:tabs>
        <w:tab w:val="clear" w:pos="720"/>
        <w:tab w:val="left" w:pos="612" w:leader="none"/>
      </w:tabs>
      <w:suppressAutoHyphens w:val="true"/>
      <w:spacing w:lineRule="auto" w:line="312" w:before="0" w:after="300"/>
      <w:jc w:val="center"/>
    </w:pPr>
    <w:rPr>
      <w:b/>
      <w:bCs/>
      <w:sz w:val="21"/>
      <w:szCs w:val="21"/>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1999-06-23T15:17:00Z</dcterms:created>
  <dc:creator>005729</dc:creator>
  <dc:description/>
  <dc:language>en-CA</dc:language>
  <cp:lastModifiedBy>DScott_ADM</cp:lastModifiedBy>
  <cp:lastPrinted>1999-06-23T15:19:00Z</cp:lastPrinted>
  <dcterms:modified xsi:type="dcterms:W3CDTF">1999-06-23T15:17:00Z</dcterms:modified>
  <cp:revision>2</cp:revision>
  <dc:subject/>
  <dc:title>Enron Internet Trading</dc:title>
</cp:coreProperties>
</file>