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5.wmf" ContentType="image/x-wmf"/>
  <Override PartName="/word/media/image2.wmf" ContentType="image/x-wmf"/>
  <Override PartName="/word/media/image3.wmf" ContentType="image/x-wmf"/>
  <Override PartName="/word/media/image4.png" ContentType="image/png"/>
  <Override PartName="/word/media/image6.wmf" ContentType="image/x-wmf"/>
  <Override PartName="/word/media/image7.wmf" ContentType="image/x-wmf"/>
  <Override PartName="/word/media/image8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hyperlink r:id="rId3">
        <w:r>
          <w:drawing>
            <wp:anchor behindDoc="0" distT="0" distB="0" distL="114935" distR="114935" simplePos="0" locked="0" layoutInCell="0" allowOverlap="1" relativeHeight="6">
              <wp:simplePos x="0" y="0"/>
              <wp:positionH relativeFrom="column">
                <wp:posOffset>-914400</wp:posOffset>
              </wp:positionH>
              <wp:positionV relativeFrom="paragraph">
                <wp:posOffset>635</wp:posOffset>
              </wp:positionV>
              <wp:extent cx="2220595" cy="762000"/>
              <wp:effectExtent l="0" t="0" r="0" b="0"/>
              <wp:wrapSquare wrapText="bothSides"/>
              <wp:docPr id="1" name="BIPAC_Logo" descr="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PAC_Logo" descr="" title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l="-5" t="-13" r="-5" b="-1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0595" cy="762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Style w:val="Hyperlink"/>
            <w:b/>
            <w:bCs/>
            <w:color w:val="0000CC"/>
            <w:sz w:val="32"/>
            <w:u w:val="none"/>
          </w:rPr>
          <w:t>WWW.BIPAC.ORG</w:t>
        </w:r>
      </w:hyperlink>
      <w:r>
        <w:rPr>
          <w:b/>
          <w:bCs/>
          <w:color w:val="0000FF"/>
          <w:sz w:val="32"/>
        </w:rPr>
        <w:t xml:space="preserve"> </w:t>
      </w:r>
      <w:r>
        <w:rPr>
          <w:sz w:val="32"/>
        </w:rPr>
        <w:t>- Did you know that…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  <w:t xml:space="preserve">Through your company’s individual username and password </w:t>
      </w:r>
    </w:p>
    <w:p>
      <w:pPr>
        <w:pStyle w:val="Normal"/>
        <w:rPr/>
      </w:pPr>
      <w:r>
        <w:rPr/>
        <w:t>you can access: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spacing w:lineRule="auto" w:line="360"/>
        <w:rPr/>
      </w:pPr>
      <w:r>
        <w:rPr/>
        <w:t>Past issues of Elections Insight in adobe format.</w:t>
      </w:r>
    </w:p>
    <w:p>
      <w:pPr>
        <w:pStyle w:val="Normal"/>
        <w:numPr>
          <w:ilvl w:val="0"/>
          <w:numId w:val="6"/>
        </w:numPr>
        <w:spacing w:lineRule="auto" w:line="360"/>
        <w:rPr/>
      </w:pPr>
      <w:r>
        <w:rPr/>
        <w:t>Washington Briefing and PAC Council meeting summaries and handouts.</w:t>
      </w:r>
    </w:p>
    <w:p>
      <w:pPr>
        <w:pStyle w:val="Normal"/>
        <w:numPr>
          <w:ilvl w:val="0"/>
          <w:numId w:val="6"/>
        </w:numPr>
        <w:rPr/>
      </w:pPr>
      <w:r>
        <w:rPr/>
        <w:t>Political links to the sites of; media and news organizations, political organizations and trade associations, the Executive, Legislative and Judicial. branches and other federal agencies, commissions, etc.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Depending on your level of support to BIPAC you may also be able to access: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-1028700</wp:posOffset>
            </wp:positionH>
            <wp:positionV relativeFrom="paragraph">
              <wp:posOffset>7620</wp:posOffset>
            </wp:positionV>
            <wp:extent cx="936625" cy="1151890"/>
            <wp:effectExtent l="0" t="0" r="0" b="0"/>
            <wp:wrapSquare wrapText="bothSides"/>
            <wp:docPr id="2" name="pe00898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00898_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" t="-19" r="-23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BIPAC’s </w:t>
      </w:r>
      <w:r>
        <w:rPr>
          <w:b/>
          <w:bCs/>
          <w:u w:val="single"/>
        </w:rPr>
        <w:t>Candidate Database</w:t>
      </w:r>
    </w:p>
    <w:p>
      <w:pPr>
        <w:pStyle w:val="Normal"/>
        <w:rPr/>
      </w:pPr>
      <w:r>
        <w:rPr/>
        <w:t>Every district for the U. S. House of Representatives and every state for the U. S. Senate: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Bernadette Budde and her political team’s analysis of the race and district.</w:t>
      </w:r>
    </w:p>
    <w:p>
      <w:pPr>
        <w:pStyle w:val="Normal"/>
        <w:numPr>
          <w:ilvl w:val="0"/>
          <w:numId w:val="2"/>
        </w:numPr>
        <w:rPr/>
      </w:pPr>
      <w:r>
        <w:rPr/>
        <w:t>Candidate issue statements about Improving the Economic Environment, Preserving the Quality Workforce, Increasing Economic Opportunity and the candidate’s main issues.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Click on the candidate’s </w:t>
      </w:r>
      <w:r>
        <w:rPr>
          <w:i/>
          <w:iCs/>
        </w:rPr>
        <w:t>Campaign Finances</w:t>
      </w:r>
      <w:r>
        <w:rPr/>
        <w:t xml:space="preserve"> for information about contributions from individuals, PACs, and other committees, and independent and coordinated expenditures.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3086100</wp:posOffset>
            </wp:positionH>
            <wp:positionV relativeFrom="paragraph">
              <wp:posOffset>84455</wp:posOffset>
            </wp:positionV>
            <wp:extent cx="1219200" cy="1251585"/>
            <wp:effectExtent l="0" t="0" r="0" b="0"/>
            <wp:wrapSquare wrapText="bothSides"/>
            <wp:docPr id="3" name="j019640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0196408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0" t="-19" r="-20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5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BIPAC’s </w:t>
      </w:r>
      <w:r>
        <w:rPr>
          <w:b/>
          <w:bCs/>
          <w:u w:val="single"/>
        </w:rPr>
        <w:t>Issues Tracking Database</w:t>
      </w:r>
      <w:r>
        <w:rPr/>
        <w:t xml:space="preserve"> </w:t>
      </w:r>
    </w:p>
    <w:p>
      <w:pPr>
        <w:pStyle w:val="Normal"/>
        <w:rPr/>
      </w:pPr>
      <w:r>
        <w:rPr/>
        <w:t>Allows you to search for information by: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Roll Call votes</w:t>
      </w:r>
    </w:p>
    <w:p>
      <w:pPr>
        <w:pStyle w:val="Normal"/>
        <w:numPr>
          <w:ilvl w:val="0"/>
          <w:numId w:val="3"/>
        </w:numPr>
        <w:rPr/>
      </w:pPr>
      <w:r>
        <w:rPr/>
        <w:t>Bill numbers</w:t>
      </w:r>
    </w:p>
    <w:p>
      <w:pPr>
        <w:pStyle w:val="Normal"/>
        <w:numPr>
          <w:ilvl w:val="0"/>
          <w:numId w:val="3"/>
        </w:numPr>
        <w:rPr/>
      </w:pPr>
      <w:r>
        <w:rPr/>
        <w:t>Specific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19050" distB="19050" distL="38100" distR="91440" simplePos="0" locked="0" layoutInCell="0" allowOverlap="1" relativeHeight="4">
            <wp:simplePos x="0" y="0"/>
            <wp:positionH relativeFrom="column">
              <wp:posOffset>-914400</wp:posOffset>
            </wp:positionH>
            <wp:positionV relativeFrom="line">
              <wp:posOffset>86995</wp:posOffset>
            </wp:positionV>
            <wp:extent cx="914400" cy="768985"/>
            <wp:effectExtent l="0" t="0" r="0" b="0"/>
            <wp:wrapSquare wrapText="bothSides"/>
            <wp:docPr id="4" name="logosmall" descr="" title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mall" descr="" title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7" t="-55" r="-47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Anyone can click on our </w:t>
      </w:r>
      <w:r>
        <w:rPr>
          <w:b/>
          <w:bCs/>
          <w:u w:val="single"/>
        </w:rPr>
        <w:t>Project 2000</w:t>
      </w:r>
      <w:r>
        <w:rPr/>
        <w:t xml:space="preserve"> link, or access directly at </w:t>
      </w:r>
      <w:r>
        <w:rPr>
          <w:b/>
          <w:bCs/>
          <w:u w:val="single"/>
        </w:rPr>
        <w:t>politikit.com</w:t>
      </w:r>
      <w:r>
        <w:rPr/>
        <w:t>:</w:t>
      </w:r>
    </w:p>
    <w:p>
      <w:pPr>
        <w:pStyle w:val="Normal"/>
        <w:rPr/>
      </w:pPr>
      <w:r>
        <w:rPr/>
        <w:t xml:space="preserve">For a complete list of the Project 2000 voting records in adobe format, click on </w:t>
      </w:r>
    </w:p>
    <w:p>
      <w:pPr>
        <w:pStyle w:val="Normal"/>
        <w:rPr/>
      </w:pPr>
      <w:r>
        <w:rPr>
          <w:i/>
          <w:iCs/>
        </w:rPr>
        <w:t>Voting Records</w:t>
      </w:r>
      <w:r>
        <w:rPr/>
        <w:t xml:space="preserve"> at top of page.  To access politikit tools, click on right sidebar for: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3886200</wp:posOffset>
            </wp:positionH>
            <wp:positionV relativeFrom="paragraph">
              <wp:posOffset>71755</wp:posOffset>
            </wp:positionV>
            <wp:extent cx="927100" cy="984885"/>
            <wp:effectExtent l="0" t="0" r="0" b="0"/>
            <wp:wrapNone/>
            <wp:docPr id="5" name="bs00508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s00508_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" t="-22" r="-23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u w:val="single"/>
        </w:rPr>
        <w:t>Direct Contributions: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7"/>
        </w:numPr>
        <w:rPr/>
      </w:pPr>
      <w:r>
        <w:rPr/>
        <w:t>FEC Advisory Opinions</w:t>
      </w:r>
    </w:p>
    <w:p>
      <w:pPr>
        <w:pStyle w:val="Normal"/>
        <w:numPr>
          <w:ilvl w:val="0"/>
          <w:numId w:val="7"/>
        </w:numPr>
        <w:rPr/>
      </w:pPr>
      <w:r>
        <w:rPr/>
        <w:t>State contribution laws</w:t>
      </w:r>
    </w:p>
    <w:p>
      <w:pPr>
        <w:pStyle w:val="Normal"/>
        <w:numPr>
          <w:ilvl w:val="0"/>
          <w:numId w:val="7"/>
        </w:numPr>
        <w:rPr/>
      </w:pPr>
      <w:r>
        <w:rPr/>
        <w:t>PAC newsletter tools and communications samples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0"/>
          <w:u w:val="single"/>
          <w:lang w:val="en-CA" w:eastAsia="en-CA"/>
        </w:rPr>
      </w:pPr>
      <w:r>
        <w:rPr>
          <w:sz w:val="20"/>
          <w:u w:val="single"/>
          <w:lang w:val="en-CA" w:eastAsia="en-CA"/>
        </w:rP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-1028700</wp:posOffset>
            </wp:positionH>
            <wp:positionV relativeFrom="paragraph">
              <wp:posOffset>-7620</wp:posOffset>
            </wp:positionV>
            <wp:extent cx="1480185" cy="1371600"/>
            <wp:effectExtent l="0" t="0" r="0" b="0"/>
            <wp:wrapSquare wrapText="bothSides"/>
            <wp:docPr id="6" name="bs01580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s01580_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" t="-18" r="-17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u w:val="single"/>
        </w:rPr>
      </w:pPr>
      <w:r>
        <w:rPr>
          <w:u w:val="single"/>
        </w:rPr>
        <w:t>Corporate Communications: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 xml:space="preserve">For absentee ballot registration and online absentee applications click on </w:t>
      </w:r>
      <w:r>
        <w:rPr>
          <w:i/>
          <w:iCs/>
        </w:rPr>
        <w:t>State-by-State GOTV Information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For the Project 2000 Watchlist click on </w:t>
      </w:r>
      <w:r>
        <w:rPr>
          <w:i/>
          <w:iCs/>
        </w:rPr>
        <w:t>Create Custom Voting Record</w:t>
      </w:r>
    </w:p>
    <w:p>
      <w:pPr>
        <w:pStyle w:val="Normal"/>
        <w:numPr>
          <w:ilvl w:val="0"/>
          <w:numId w:val="8"/>
        </w:numPr>
        <w:rPr/>
      </w:pPr>
      <w:r>
        <w:rPr/>
        <w:t>Forms for Reporting Corporate Communications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Independent Expenditures:</w:t>
      </w:r>
    </w:p>
    <w:p>
      <w:pPr>
        <w:pStyle w:val="Normal"/>
        <w:rPr>
          <w:sz w:val="20"/>
          <w:u w:val="single"/>
          <w:lang w:val="en-CA" w:eastAsia="en-CA"/>
        </w:rPr>
      </w:pPr>
      <w:r>
        <w:rPr>
          <w:sz w:val="20"/>
          <w:u w:val="single"/>
          <w:lang w:val="en-CA" w:eastAsia="en-CA"/>
        </w:rPr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4229100</wp:posOffset>
            </wp:positionH>
            <wp:positionV relativeFrom="paragraph">
              <wp:posOffset>60960</wp:posOffset>
            </wp:positionV>
            <wp:extent cx="1143000" cy="1061720"/>
            <wp:effectExtent l="0" t="0" r="0" b="0"/>
            <wp:wrapSquare wrapText="bothSides"/>
            <wp:docPr id="7" name="bs00439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s00439_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9" t="-21" r="-19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5"/>
        </w:numPr>
        <w:rPr/>
      </w:pPr>
      <w:r>
        <w:rPr/>
        <w:t>FEC Advisory Opinions and Guides</w:t>
      </w:r>
    </w:p>
    <w:p>
      <w:pPr>
        <w:pStyle w:val="Normal"/>
        <w:numPr>
          <w:ilvl w:val="0"/>
          <w:numId w:val="5"/>
        </w:numPr>
        <w:rPr>
          <w:i/>
          <w:i/>
          <w:iCs/>
        </w:rPr>
      </w:pPr>
      <w:r>
        <w:rPr/>
        <w:t xml:space="preserve">For political involvement options for a district (i.e. voter guides) click on </w:t>
      </w:r>
      <w:r>
        <w:rPr>
          <w:i/>
          <w:iCs/>
        </w:rPr>
        <w:t>View Tools for a Specific District or State</w:t>
      </w:r>
    </w:p>
    <w:p>
      <w:pPr>
        <w:pStyle w:val="Normal"/>
        <w:numPr>
          <w:ilvl w:val="0"/>
          <w:numId w:val="5"/>
        </w:numPr>
        <w:rPr>
          <w:i/>
          <w:i/>
          <w:iCs/>
        </w:rPr>
      </w:pPr>
      <w:r>
        <w:rPr/>
        <w:t xml:space="preserve">For a directory of political products and services by specialty, targeted state, or party click on </w:t>
      </w:r>
      <w:r>
        <w:rPr>
          <w:i/>
          <w:iCs/>
        </w:rPr>
        <w:t>Vendors to Assist with Independent Expenditures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rPr/>
      </w:pPr>
      <w:r>
        <w:rPr/>
        <w:t>Volunteer Activity: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Suggest that your employees get involved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drawing>
          <wp:inline distT="0" distB="0" distL="0" distR="0">
            <wp:extent cx="1828165" cy="1210310"/>
            <wp:effectExtent l="0" t="0" r="0" b="0"/>
            <wp:docPr id="8" name="pe01561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01561_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8" t="-12" r="-8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 xml:space="preserve">Forgot your username and password to BIPAC’s site?  No problem!  </w:t>
      </w:r>
    </w:p>
    <w:p>
      <w:pPr>
        <w:pStyle w:val="Normal"/>
        <w:rPr/>
      </w:pPr>
      <w:r>
        <w:rPr>
          <w:sz w:val="28"/>
        </w:rPr>
        <w:t xml:space="preserve">Send an email to </w:t>
      </w:r>
      <w:hyperlink r:id="rId12">
        <w:r>
          <w:rPr>
            <w:rStyle w:val="Hyperlink"/>
            <w:sz w:val="28"/>
          </w:rPr>
          <w:t>ireland@bipac.org</w:t>
        </w:r>
      </w:hyperlink>
      <w:r>
        <w:rPr>
          <w:sz w:val="28"/>
        </w:rPr>
        <w:t xml:space="preserve">  and we’ll be happy to give it to you.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BIPAC.ORG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image" Target="media/image4.png"/><Relationship Id="rId7" Type="http://schemas.openxmlformats.org/officeDocument/2006/relationships/hyperlink" Target="http://www.politikit.com/" TargetMode="External"/><Relationship Id="rId8" Type="http://schemas.openxmlformats.org/officeDocument/2006/relationships/image" Target="media/image5.wmf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hyperlink" Target="mailto:ireland@bipac.org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2000-10-12T12:44:00Z</dcterms:created>
  <dc:creator>BIPAC</dc:creator>
  <dc:description/>
  <dc:language>en-CA</dc:language>
  <cp:lastModifiedBy>BIPAC</cp:lastModifiedBy>
  <cp:lastPrinted>2000-10-12T15:45:00Z</cp:lastPrinted>
  <dcterms:modified xsi:type="dcterms:W3CDTF">2000-10-19T11:15:00Z</dcterms:modified>
  <cp:revision>19</cp:revision>
  <dc:subject/>
  <dc:title>WWW</dc:title>
</cp:coreProperties>
</file>