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913765" cy="8115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13765" cy="811530"/>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Caption"/>
        <w:rPr>
          <w:b w:val="false"/>
          <w:u w:val="none"/>
        </w:rPr>
      </w:pPr>
      <w:r>
        <w:rPr>
          <w:b w:val="false"/>
          <w:u w:val="none"/>
        </w:rPr>
      </w:r>
    </w:p>
    <w:p>
      <w:pPr>
        <w:pStyle w:val="Caption"/>
        <w:rPr>
          <w:sz w:val="20"/>
        </w:rPr>
      </w:pPr>
      <w:r>
        <w:rPr>
          <w:sz w:val="20"/>
        </w:rPr>
        <w:t>CONFIRMATION</w:t>
      </w:r>
    </w:p>
    <w:p>
      <w:pPr>
        <w:pStyle w:val="Header"/>
        <w:widowControl/>
        <w:tabs>
          <w:tab w:val="clear" w:pos="4320"/>
          <w:tab w:val="clear" w:pos="8640"/>
        </w:tabs>
        <w:rPr>
          <w:sz w:val="20"/>
        </w:rPr>
      </w:pPr>
      <w:r>
        <w:rPr>
          <w:sz w:val="20"/>
        </w:rPr>
      </w:r>
    </w:p>
    <w:p>
      <w:pPr>
        <w:pStyle w:val="Normal"/>
        <w:ind w:firstLine="720" w:end="0"/>
        <w:rPr>
          <w:color w:val="FF0000"/>
        </w:rPr>
      </w:pPr>
      <w:r>
        <w:rPr/>
        <w:t>Date:</w:t>
        <w:tab/>
        <w:tab/>
        <w:tab/>
        <w:tab/>
        <w:t>January 24, 2001</w:t>
      </w:r>
    </w:p>
    <w:p>
      <w:pPr>
        <w:pStyle w:val="Normal"/>
        <w:ind w:firstLine="720" w:end="0"/>
        <w:rPr/>
      </w:pPr>
      <w:r>
        <w:rPr/>
        <w:t>To:</w:t>
        <w:tab/>
        <w:tab/>
        <w:tab/>
        <w:tab/>
        <w:t>WeBco International LLC (“Counterparty”)</w:t>
      </w:r>
    </w:p>
    <w:p>
      <w:pPr>
        <w:pStyle w:val="Normal"/>
        <w:ind w:firstLine="720" w:end="0"/>
        <w:rPr/>
      </w:pPr>
      <w:r>
        <w:rPr/>
        <w:t xml:space="preserve">Attention: </w:t>
        <w:tab/>
        <w:tab/>
        <w:tab/>
        <w:t>T. W. Evans</w:t>
      </w:r>
    </w:p>
    <w:p>
      <w:pPr>
        <w:pStyle w:val="Header"/>
        <w:widowControl/>
        <w:tabs>
          <w:tab w:val="clear" w:pos="4320"/>
          <w:tab w:val="clear" w:pos="8640"/>
        </w:tabs>
        <w:rPr>
          <w:color w:val="FF0000"/>
        </w:rPr>
      </w:pPr>
      <w:r>
        <w:rPr/>
        <w:tab/>
        <w:t>Phone Number:</w:t>
        <w:tab/>
        <w:tab/>
        <w:tab/>
        <w:t>(304) 797-2234</w:t>
      </w:r>
    </w:p>
    <w:p>
      <w:pPr>
        <w:pStyle w:val="Normal"/>
        <w:ind w:firstLine="720" w:end="0"/>
        <w:rPr/>
      </w:pPr>
      <w:r>
        <w:rPr/>
        <w:t>Fax Number:</w:t>
        <w:tab/>
        <w:tab/>
        <w:tab/>
        <w:t>(304) 797-4699</w:t>
      </w:r>
    </w:p>
    <w:p>
      <w:pPr>
        <w:pStyle w:val="Normal"/>
        <w:ind w:firstLine="720" w:end="0"/>
        <w:rPr/>
      </w:pPr>
      <w:r>
        <w:rPr/>
        <w:t>From:</w:t>
        <w:tab/>
        <w:tab/>
        <w:tab/>
        <w:tab/>
        <w:t>Enron North America Corp. (“ENA”)</w:t>
      </w:r>
    </w:p>
    <w:p>
      <w:pPr>
        <w:pStyle w:val="Normal"/>
        <w:ind w:firstLine="720" w:end="0"/>
        <w:rPr/>
      </w:pPr>
      <w:r>
        <w:rPr/>
        <w:t>Re:</w:t>
        <w:tab/>
        <w:tab/>
        <w:tab/>
        <w:tab/>
        <w:t xml:space="preserve">Commodity Swap, ENA Deal No. </w:t>
      </w:r>
      <w:r>
        <w:rPr>
          <w:color w:val="FF0000"/>
          <w:lang w:eastAsia="en-US"/>
        </w:rPr>
        <w:t>&lt;&lt;Deal Number&gt;&gt;</w:t>
      </w:r>
    </w:p>
    <w:p>
      <w:pPr>
        <w:pStyle w:val="Normal"/>
        <w:ind w:firstLine="720" w:end="0"/>
        <w:rPr>
          <w:color w:val="FF0000"/>
          <w:lang w:eastAsia="en-US"/>
        </w:rPr>
      </w:pPr>
      <w:r>
        <w:rPr>
          <w:color w:val="FF0000"/>
          <w:lang w:eastAsia="en-US"/>
        </w:rPr>
      </w:r>
    </w:p>
    <w:p>
      <w:pPr>
        <w:pStyle w:val="Normal"/>
        <w:ind w:firstLine="720" w:end="0"/>
        <w:jc w:val="center"/>
        <w:rPr>
          <w:b/>
          <w:lang w:eastAsia="en-US"/>
        </w:rPr>
      </w:pPr>
      <w:r>
        <w:rPr>
          <w:b/>
          <w:lang w:eastAsia="en-US"/>
        </w:rPr>
        <w:t>This Transaction was entered into between the parties via EnronOnline.</w:t>
      </w:r>
    </w:p>
    <w:p>
      <w:pPr>
        <w:pStyle w:val="Normal"/>
        <w:ind w:firstLine="720" w:end="0"/>
        <w:jc w:val="center"/>
        <w:rPr>
          <w:b/>
        </w:rPr>
      </w:pPr>
      <w:r>
        <w:rPr>
          <w:b/>
          <w:lang w:eastAsia="en-US"/>
        </w:rPr>
        <w:t xml:space="preserve">EnronOnline Deal No: </w:t>
      </w:r>
      <w:r>
        <w:rPr>
          <w:b/>
          <w:color w:val="FF0000"/>
          <w:lang w:eastAsia="en-US"/>
        </w:rPr>
        <w:t>&lt;&lt;EnronOnline Deal Number&gt;&gt;</w:t>
      </w:r>
      <w:r>
        <w:rPr>
          <w:b/>
          <w:lang w:eastAsia="en-US"/>
        </w:rPr>
        <w:t xml:space="preserve"> </w:t>
      </w:r>
    </w:p>
    <w:p>
      <w:pPr>
        <w:pStyle w:val="Normal"/>
        <w:rPr>
          <w:b/>
        </w:rPr>
      </w:pPr>
      <w:r>
        <w:rPr>
          <w:b/>
        </w:rPr>
      </w:r>
    </w:p>
    <w:p>
      <w:pPr>
        <w:pStyle w:val="Normal"/>
        <w:rPr>
          <w:b/>
        </w:rPr>
      </w:pPr>
      <w:r>
        <w:rPr>
          <w:b/>
        </w:rPr>
      </w:r>
    </w:p>
    <w:p>
      <w:pPr>
        <w:pStyle w:val="BodyTextIndent"/>
        <w:rPr>
          <w:sz w:val="20"/>
        </w:rPr>
      </w:pPr>
      <w:r>
        <w:rPr>
          <w:sz w:val="20"/>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ind w:firstLine="720" w:end="0"/>
        <w:jc w:val="both"/>
        <w:rPr>
          <w:sz w:val="20"/>
        </w:rPr>
      </w:pPr>
      <w:r>
        <w:rPr>
          <w:sz w:val="20"/>
        </w:rPr>
      </w:r>
    </w:p>
    <w:p>
      <w:pPr>
        <w:pStyle w:val="Normal"/>
        <w:ind w:firstLine="720" w:end="0"/>
        <w:jc w:val="both"/>
        <w:rPr/>
      </w:pPr>
      <w:r>
        <w:rPr/>
        <w:t xml:space="preserve">1. This Confirmation supplements, forms part of, and is subject to the ISDA Master Agreement dated as of </w:t>
      </w:r>
      <w:r>
        <w:rPr>
          <w:color w:val="FF0000"/>
        </w:rPr>
        <w:t>&lt;&lt;ISDA Master Date&gt;&gt;</w:t>
      </w:r>
      <w:r>
        <w:rPr/>
        <w:t>, as amended and supplemented from time to time (the “Agreement”), between you and us.  All provisions contained in the Agreement govern this Confirmation except as expressly modified below.</w:t>
      </w:r>
    </w:p>
    <w:p>
      <w:pPr>
        <w:pStyle w:val="Normal"/>
        <w:jc w:val="both"/>
        <w:rPr/>
      </w:pPr>
      <w:r>
        <w:rPr/>
      </w:r>
    </w:p>
    <w:p>
      <w:pPr>
        <w:pStyle w:val="Normal"/>
        <w:ind w:firstLine="720" w:end="0"/>
        <w:jc w:val="both"/>
        <w:rPr/>
      </w:pPr>
      <w:r>
        <w:rPr/>
        <w:t>2. The terms of the particular Transaction to which this Confirmation relates are as follows:</w:t>
      </w:r>
    </w:p>
    <w:p>
      <w:pPr>
        <w:pStyle w:val="Normal"/>
        <w:jc w:val="both"/>
        <w:rPr/>
      </w:pPr>
      <w:r>
        <w:rPr/>
      </w:r>
    </w:p>
    <w:p>
      <w:pPr>
        <w:pStyle w:val="Normal"/>
        <w:rPr/>
      </w:pPr>
      <w:r>
        <w:rPr>
          <w:b/>
          <w:u w:val="single"/>
        </w:rPr>
        <w:t>General Terms</w:t>
      </w:r>
      <w:r>
        <w:rPr/>
        <w:t>:</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ind w:firstLine="720" w:end="0"/>
              <w:jc w:val="both"/>
              <w:rPr/>
            </w:pPr>
            <w:r>
              <w:rPr/>
              <w:t>Total Notional Quantity:</w:t>
            </w:r>
          </w:p>
        </w:tc>
        <w:tc>
          <w:tcPr>
            <w:tcW w:w="4788" w:type="dxa"/>
            <w:tcBorders/>
          </w:tcPr>
          <w:p>
            <w:pPr>
              <w:pStyle w:val="Normal"/>
              <w:jc w:val="both"/>
              <w:rPr/>
            </w:pPr>
            <w:r>
              <w:rPr/>
              <w:t xml:space="preserve">22,000 Net Tons </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Notional Quantity</w:t>
            </w:r>
          </w:p>
          <w:p>
            <w:pPr>
              <w:pStyle w:val="Normal"/>
              <w:ind w:firstLine="720" w:end="0"/>
              <w:jc w:val="both"/>
              <w:rPr/>
            </w:pPr>
            <w:r>
              <w:rPr/>
              <w:t>per Calculation Period:</w:t>
            </w:r>
          </w:p>
        </w:tc>
        <w:tc>
          <w:tcPr>
            <w:tcW w:w="4788" w:type="dxa"/>
            <w:tcBorders/>
          </w:tcPr>
          <w:p>
            <w:pPr>
              <w:pStyle w:val="Normal"/>
              <w:snapToGrid w:val="false"/>
              <w:jc w:val="both"/>
              <w:rPr/>
            </w:pPr>
            <w:r>
              <w:rPr/>
            </w:r>
          </w:p>
          <w:p>
            <w:pPr>
              <w:pStyle w:val="Normal"/>
              <w:jc w:val="both"/>
              <w:rPr/>
            </w:pPr>
            <w:r>
              <w:rPr>
                <w:color w:val="FF0000"/>
              </w:rPr>
              <w:t xml:space="preserve">  </w:t>
            </w:r>
            <w:r>
              <w:rPr/>
              <w:t>2,000 Net Tons</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Commodity:</w:t>
            </w:r>
          </w:p>
        </w:tc>
        <w:tc>
          <w:tcPr>
            <w:tcW w:w="4788" w:type="dxa"/>
            <w:tcBorders/>
          </w:tcPr>
          <w:p>
            <w:pPr>
              <w:pStyle w:val="Normal"/>
              <w:jc w:val="both"/>
              <w:rPr/>
            </w:pPr>
            <w:r>
              <w:rPr/>
              <w:t>Hot Rolled Steel Sheet (Midwest)</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Commodity Unit:</w:t>
            </w:r>
          </w:p>
        </w:tc>
        <w:tc>
          <w:tcPr>
            <w:tcW w:w="4788" w:type="dxa"/>
            <w:tcBorders/>
          </w:tcPr>
          <w:p>
            <w:pPr>
              <w:pStyle w:val="Normal"/>
              <w:jc w:val="both"/>
              <w:rPr/>
            </w:pPr>
            <w:r>
              <w:rPr/>
              <w:t>Net Tons</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Trade Date:</w:t>
            </w:r>
          </w:p>
        </w:tc>
        <w:tc>
          <w:tcPr>
            <w:tcW w:w="4788" w:type="dxa"/>
            <w:tcBorders/>
          </w:tcPr>
          <w:p>
            <w:pPr>
              <w:pStyle w:val="Normal"/>
              <w:jc w:val="both"/>
              <w:rPr>
                <w:color w:val="FF0000"/>
              </w:rPr>
            </w:pPr>
            <w:r>
              <w:rPr>
                <w:color w:val="FF0000"/>
              </w:rPr>
              <w:t>&lt;&lt;Deal Date&gt;&gt;</w:t>
            </w:r>
          </w:p>
        </w:tc>
      </w:tr>
      <w:tr>
        <w:trPr/>
        <w:tc>
          <w:tcPr>
            <w:tcW w:w="4788" w:type="dxa"/>
            <w:tcBorders/>
          </w:tcPr>
          <w:p>
            <w:pPr>
              <w:pStyle w:val="Normal"/>
              <w:snapToGrid w:val="false"/>
              <w:ind w:firstLine="720" w:end="0"/>
              <w:jc w:val="both"/>
              <w:rPr>
                <w:color w:val="FF0000"/>
              </w:rPr>
            </w:pPr>
            <w:r>
              <w:rPr>
                <w:color w:val="FF0000"/>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Effective Date:</w:t>
            </w:r>
          </w:p>
        </w:tc>
        <w:tc>
          <w:tcPr>
            <w:tcW w:w="4788" w:type="dxa"/>
            <w:tcBorders/>
          </w:tcPr>
          <w:p>
            <w:pPr>
              <w:pStyle w:val="Normal"/>
              <w:jc w:val="both"/>
              <w:rPr/>
            </w:pPr>
            <w:r>
              <w:rPr/>
              <w:t>April 1, 2001</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Termination Date:</w:t>
            </w:r>
          </w:p>
        </w:tc>
        <w:tc>
          <w:tcPr>
            <w:tcW w:w="4788" w:type="dxa"/>
            <w:tcBorders/>
          </w:tcPr>
          <w:p>
            <w:pPr>
              <w:pStyle w:val="Normal"/>
              <w:jc w:val="both"/>
              <w:rPr/>
            </w:pPr>
            <w:r>
              <w:rPr/>
              <w:t>February 28, 2002</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Calculation Period(s):</w:t>
            </w:r>
          </w:p>
        </w:tc>
        <w:tc>
          <w:tcPr>
            <w:tcW w:w="4788" w:type="dxa"/>
            <w:tcBorders/>
          </w:tcPr>
          <w:p>
            <w:pPr>
              <w:pStyle w:val="Normal"/>
              <w:jc w:val="both"/>
              <w:rPr/>
            </w:pPr>
            <w:r>
              <w:rPr/>
              <w:t>Each calendar month,</w:t>
            </w:r>
            <w:r>
              <w:rPr>
                <w:color w:val="000000"/>
              </w:rPr>
              <w:t xml:space="preserve"> with the first Calculation Period commencing on the Effective Date and the final Calculation Period ending on the Termination Date.</w:t>
            </w:r>
          </w:p>
        </w:tc>
      </w:tr>
      <w:tr>
        <w:trPr/>
        <w:tc>
          <w:tcPr>
            <w:tcW w:w="4788" w:type="dxa"/>
            <w:tcBorders/>
          </w:tcPr>
          <w:p>
            <w:pPr>
              <w:pStyle w:val="Normal"/>
              <w:snapToGrid w:val="false"/>
              <w:ind w:firstLine="720" w:end="0"/>
              <w:rPr/>
            </w:pPr>
            <w:r>
              <w:rPr/>
            </w:r>
          </w:p>
        </w:tc>
        <w:tc>
          <w:tcPr>
            <w:tcW w:w="4788" w:type="dxa"/>
            <w:tcBorders/>
          </w:tcPr>
          <w:p>
            <w:pPr>
              <w:pStyle w:val="Normal"/>
              <w:snapToGrid w:val="false"/>
              <w:rPr/>
            </w:pPr>
            <w:r>
              <w:rPr/>
            </w:r>
          </w:p>
        </w:tc>
      </w:tr>
      <w:tr>
        <w:trPr/>
        <w:tc>
          <w:tcPr>
            <w:tcW w:w="4788" w:type="dxa"/>
            <w:tcBorders/>
          </w:tcPr>
          <w:p>
            <w:pPr>
              <w:pStyle w:val="Normal"/>
              <w:ind w:firstLine="720" w:end="0"/>
              <w:jc w:val="both"/>
              <w:rPr/>
            </w:pPr>
            <w:r>
              <w:rPr/>
              <w:t>Payment Date(s):</w:t>
            </w:r>
          </w:p>
        </w:tc>
        <w:tc>
          <w:tcPr>
            <w:tcW w:w="4788" w:type="dxa"/>
            <w:tcBorders/>
          </w:tcPr>
          <w:p>
            <w:pPr>
              <w:pStyle w:val="Normal"/>
              <w:jc w:val="both"/>
              <w:rPr>
                <w:color w:val="FF0000"/>
              </w:rPr>
            </w:pPr>
            <w:r>
              <w:rPr/>
              <w:t>The fifth (5</w:t>
            </w:r>
            <w:r>
              <w:rPr>
                <w:vertAlign w:val="superscript"/>
              </w:rPr>
              <w:t>th</w:t>
            </w:r>
            <w:r>
              <w:rPr/>
              <w:t>) Business Day after the Floating Price is determinable.</w:t>
            </w:r>
          </w:p>
        </w:tc>
      </w:tr>
      <w:tr>
        <w:trPr/>
        <w:tc>
          <w:tcPr>
            <w:tcW w:w="4788" w:type="dxa"/>
            <w:tcBorders/>
          </w:tcPr>
          <w:p>
            <w:pPr>
              <w:pStyle w:val="Normal"/>
              <w:snapToGrid w:val="false"/>
              <w:ind w:start="-90" w:end="0"/>
              <w:jc w:val="both"/>
              <w:rPr>
                <w:color w:val="FF0000"/>
              </w:rPr>
            </w:pPr>
            <w:r>
              <w:rPr>
                <w:color w:val="FF0000"/>
              </w:rPr>
            </w:r>
          </w:p>
        </w:tc>
        <w:tc>
          <w:tcPr>
            <w:tcW w:w="4788" w:type="dxa"/>
            <w:tcBorders/>
          </w:tcPr>
          <w:p>
            <w:pPr>
              <w:pStyle w:val="Normal"/>
              <w:snapToGrid w:val="false"/>
              <w:jc w:val="both"/>
              <w:rPr/>
            </w:pPr>
            <w:r>
              <w:rPr/>
            </w:r>
          </w:p>
        </w:tc>
      </w:tr>
      <w:tr>
        <w:trPr/>
        <w:tc>
          <w:tcPr>
            <w:tcW w:w="4788" w:type="dxa"/>
            <w:tcBorders/>
          </w:tcPr>
          <w:p>
            <w:pPr>
              <w:pStyle w:val="Normal"/>
              <w:ind w:start="-90" w:end="0"/>
              <w:jc w:val="both"/>
              <w:rPr>
                <w:b/>
                <w:u w:val="single"/>
              </w:rPr>
            </w:pPr>
            <w:r>
              <w:rPr>
                <w:b/>
                <w:u w:val="single"/>
              </w:rPr>
              <w:t>Fixed Amount Details:</w:t>
            </w:r>
          </w:p>
        </w:tc>
        <w:tc>
          <w:tcPr>
            <w:tcW w:w="4788" w:type="dxa"/>
            <w:tcBorders/>
          </w:tcPr>
          <w:p>
            <w:pPr>
              <w:pStyle w:val="Normal"/>
              <w:snapToGrid w:val="false"/>
              <w:jc w:val="both"/>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Fixed Price Payer:</w:t>
            </w:r>
          </w:p>
        </w:tc>
        <w:tc>
          <w:tcPr>
            <w:tcW w:w="4788" w:type="dxa"/>
            <w:tcBorders/>
          </w:tcPr>
          <w:p>
            <w:pPr>
              <w:pStyle w:val="Normal"/>
              <w:jc w:val="both"/>
              <w:rPr/>
            </w:pPr>
            <w:r>
              <w:rPr/>
              <w:t>ENA</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Fixed Price:</w:t>
            </w:r>
          </w:p>
          <w:p>
            <w:pPr>
              <w:pStyle w:val="Normal"/>
              <w:ind w:firstLine="720" w:end="0"/>
              <w:jc w:val="both"/>
              <w:rPr/>
            </w:pPr>
            <w:r>
              <w:rPr/>
            </w:r>
          </w:p>
          <w:p>
            <w:pPr>
              <w:pStyle w:val="Normal"/>
              <w:ind w:firstLine="720" w:end="0"/>
              <w:jc w:val="both"/>
              <w:rPr/>
            </w:pPr>
            <w:r>
              <w:rPr/>
              <w:t>Fixed Amount:</w:t>
            </w:r>
          </w:p>
        </w:tc>
        <w:tc>
          <w:tcPr>
            <w:tcW w:w="4788" w:type="dxa"/>
            <w:tcBorders/>
          </w:tcPr>
          <w:p>
            <w:pPr>
              <w:pStyle w:val="Normal"/>
              <w:jc w:val="both"/>
              <w:rPr/>
            </w:pPr>
            <w:r>
              <w:rPr/>
              <w:t>USD $260.00 per Net Ton</w:t>
            </w:r>
          </w:p>
          <w:p>
            <w:pPr>
              <w:pStyle w:val="Normal"/>
              <w:jc w:val="both"/>
              <w:rPr/>
            </w:pPr>
            <w:r>
              <w:rPr/>
            </w:r>
          </w:p>
          <w:p>
            <w:pPr>
              <w:pStyle w:val="Normal"/>
              <w:jc w:val="both"/>
              <w:rPr/>
            </w:pPr>
            <w:r>
              <w:rPr/>
              <w:t>The Fixed Price multiplied by the Notional Quantity per Calculation Period</w:t>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r>
      <w:tr>
        <w:trPr/>
        <w:tc>
          <w:tcPr>
            <w:tcW w:w="4788" w:type="dxa"/>
            <w:tcBorders/>
          </w:tcPr>
          <w:p>
            <w:pPr>
              <w:pStyle w:val="Normal"/>
              <w:tabs>
                <w:tab w:val="clear" w:pos="720"/>
                <w:tab w:val="left" w:pos="-90" w:leader="none"/>
              </w:tabs>
              <w:ind w:start="-90" w:end="0"/>
              <w:jc w:val="both"/>
              <w:rPr>
                <w:b/>
                <w:u w:val="single"/>
              </w:rPr>
            </w:pPr>
            <w:r>
              <w:rPr>
                <w:b/>
                <w:u w:val="single"/>
              </w:rPr>
              <w:t>Floating Amount Details:</w:t>
            </w:r>
          </w:p>
        </w:tc>
        <w:tc>
          <w:tcPr>
            <w:tcW w:w="4788" w:type="dxa"/>
            <w:tcBorders/>
          </w:tcPr>
          <w:p>
            <w:pPr>
              <w:pStyle w:val="Normal"/>
              <w:snapToGrid w:val="false"/>
              <w:jc w:val="both"/>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Floating Price Payer:</w:t>
            </w:r>
          </w:p>
        </w:tc>
        <w:tc>
          <w:tcPr>
            <w:tcW w:w="4788" w:type="dxa"/>
            <w:tcBorders/>
          </w:tcPr>
          <w:p>
            <w:pPr>
              <w:pStyle w:val="Normal"/>
              <w:jc w:val="both"/>
              <w:rPr/>
            </w:pPr>
            <w:r>
              <w:rPr/>
              <w:t xml:space="preserve">Counterparty </w:t>
            </w:r>
          </w:p>
        </w:tc>
      </w:tr>
      <w:tr>
        <w:trPr/>
        <w:tc>
          <w:tcPr>
            <w:tcW w:w="4788" w:type="dxa"/>
            <w:tcBorders/>
          </w:tcPr>
          <w:p>
            <w:pPr>
              <w:pStyle w:val="Normal"/>
              <w:snapToGrid w:val="false"/>
              <w:ind w:firstLine="720" w:end="0"/>
              <w:rPr/>
            </w:pPr>
            <w:r>
              <w:rPr/>
            </w:r>
          </w:p>
        </w:tc>
        <w:tc>
          <w:tcPr>
            <w:tcW w:w="4788" w:type="dxa"/>
            <w:tcBorders/>
          </w:tcPr>
          <w:p>
            <w:pPr>
              <w:pStyle w:val="Normal"/>
              <w:snapToGrid w:val="false"/>
              <w:rPr/>
            </w:pPr>
            <w:r>
              <w:rPr/>
            </w:r>
          </w:p>
        </w:tc>
      </w:tr>
      <w:tr>
        <w:trPr/>
        <w:tc>
          <w:tcPr>
            <w:tcW w:w="4788" w:type="dxa"/>
            <w:tcBorders/>
          </w:tcPr>
          <w:p>
            <w:pPr>
              <w:pStyle w:val="Normal"/>
              <w:ind w:firstLine="720" w:end="0"/>
              <w:jc w:val="both"/>
              <w:rPr/>
            </w:pPr>
            <w:r>
              <w:rPr/>
              <w:t>Floating Price:</w:t>
            </w:r>
          </w:p>
        </w:tc>
        <w:tc>
          <w:tcPr>
            <w:tcW w:w="4788" w:type="dxa"/>
            <w:tcBorders/>
          </w:tcPr>
          <w:p>
            <w:pPr>
              <w:pStyle w:val="Normal"/>
              <w:jc w:val="both"/>
              <w:rPr/>
            </w:pPr>
            <w:r>
              <w:rPr/>
              <w:t>The Floating Price for a Calculation Period shall be the price for "Hot-rolled steel sheet (Midwest, $/ton)" under the heading "Latest Price" in the "Ferrous Metals (truckload quantities, FOB producing mills)" section of the "Transaction Prices" table in the first issue of Purchasing Magazine, or any successor publication, published by Cahners or its successor (such publication, “Official Board Markets”),(www.manufacturing.net /magazine/purchasing) published during the month immediately following such Calculation Period.</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Floating Amount:</w:t>
            </w:r>
          </w:p>
          <w:p>
            <w:pPr>
              <w:pStyle w:val="Normal"/>
              <w:ind w:firstLine="720" w:end="0"/>
              <w:jc w:val="both"/>
              <w:rPr/>
            </w:pPr>
            <w:r>
              <w:rPr/>
            </w:r>
          </w:p>
          <w:p>
            <w:pPr>
              <w:pStyle w:val="Normal"/>
              <w:ind w:firstLine="720" w:end="0"/>
              <w:jc w:val="both"/>
              <w:rPr/>
            </w:pPr>
            <w:r>
              <w:rPr/>
            </w:r>
          </w:p>
          <w:p>
            <w:pPr>
              <w:pStyle w:val="Normal"/>
              <w:ind w:firstLine="720" w:end="0"/>
              <w:jc w:val="both"/>
              <w:rPr/>
            </w:pPr>
            <w:r>
              <w:rPr/>
              <w:t>Trigger Price Mechanism:</w:t>
            </w:r>
          </w:p>
        </w:tc>
        <w:tc>
          <w:tcPr>
            <w:tcW w:w="4788" w:type="dxa"/>
            <w:tcBorders/>
          </w:tcPr>
          <w:p>
            <w:pPr>
              <w:pStyle w:val="Normal"/>
              <w:jc w:val="both"/>
              <w:rPr/>
            </w:pPr>
            <w:r>
              <w:rPr/>
              <w:t xml:space="preserve">The Floating Price multiplied by the Notional Quantity per Calculation Period </w:t>
            </w:r>
          </w:p>
          <w:p>
            <w:pPr>
              <w:pStyle w:val="Normal"/>
              <w:jc w:val="both"/>
              <w:rPr/>
            </w:pPr>
            <w:r>
              <w:rPr/>
            </w:r>
          </w:p>
          <w:p>
            <w:pPr>
              <w:pStyle w:val="Normal"/>
              <w:jc w:val="both"/>
              <w:rPr/>
            </w:pPr>
            <w:r>
              <w:rPr/>
              <w:t>Counterparty shall have the right, at any time upon prior written notice to ENA, to convert the Floating Price for all or a portion of the remaining Total Notional Quantity (the “Converted Notional Quantity”) to a fixed price (“the Converted Floating Price”) that is agreed to between Counterparty and ENA.  Upon the effective date of such conversion, the Floating Price for the Converted Notional Quantity shall be the Converted Floating Price</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Fallback Reference Price:</w:t>
            </w:r>
          </w:p>
        </w:tc>
        <w:tc>
          <w:tcPr>
            <w:tcW w:w="4788" w:type="dxa"/>
            <w:tcBorders/>
          </w:tcPr>
          <w:p>
            <w:pPr>
              <w:pStyle w:val="Normal"/>
              <w:jc w:val="both"/>
              <w:rPr/>
            </w:pPr>
            <w:r>
              <w:rPr/>
              <w:t>The Fallback Reference Price for a Calculation Period shall be the price for "HR Coil", "Local" for “USA –Midwest” in the "Flat-Rolled Sheet Prices" section of the “CRU Monitor Steel Sheet Products” or any successor publication, published by CRU or its successor (www.cru.co.uk) published during the month of such Calculation Period.</w:t>
            </w:r>
          </w:p>
        </w:tc>
      </w:tr>
    </w:tbl>
    <w:p>
      <w:pPr>
        <w:pStyle w:val="Normal"/>
        <w:jc w:val="both"/>
        <w:rPr/>
      </w:pPr>
      <w:r>
        <w:rPr/>
      </w:r>
    </w:p>
    <w:p>
      <w:pPr>
        <w:pStyle w:val="BodyTextIndent"/>
        <w:tabs>
          <w:tab w:val="clear" w:pos="720"/>
          <w:tab w:val="left" w:pos="810" w:leader="none"/>
          <w:tab w:val="left" w:pos="4320" w:leader="none"/>
        </w:tabs>
        <w:rPr>
          <w:sz w:val="20"/>
        </w:rPr>
      </w:pPr>
      <w:r>
        <w:rPr>
          <w:sz w:val="20"/>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jc w:val="both"/>
        <w:rPr>
          <w:sz w:val="20"/>
        </w:rPr>
      </w:pPr>
      <w:r>
        <w:rPr>
          <w:sz w:val="20"/>
        </w:rPr>
      </w:r>
    </w:p>
    <w:p>
      <w:pPr>
        <w:pStyle w:val="Normal"/>
        <w:ind w:firstLine="720" w:end="0"/>
        <w:jc w:val="both"/>
        <w:rPr/>
      </w:pPr>
      <w:r>
        <w:rPr/>
        <w:t>Enron North America Corp. is pleased to have entered into this Transaction with you.</w:t>
      </w:r>
    </w:p>
    <w:p>
      <w:pPr>
        <w:pStyle w:val="Normal"/>
        <w:rPr/>
      </w:pPr>
      <w:r>
        <w:rPr/>
      </w:r>
    </w:p>
    <w:p>
      <w:pPr>
        <w:pStyle w:val="BodyTextIndent"/>
        <w:tabs>
          <w:tab w:val="clear" w:pos="720"/>
          <w:tab w:val="left" w:pos="810" w:leader="none"/>
          <w:tab w:val="left" w:pos="4320" w:leader="none"/>
        </w:tabs>
        <w:ind w:hanging="0" w:end="0"/>
        <w:rPr>
          <w:sz w:val="20"/>
        </w:rPr>
      </w:pPr>
      <w:r>
        <w:rPr>
          <w:sz w:val="20"/>
        </w:rPr>
        <w:t>Sincerely,</w:t>
      </w:r>
    </w:p>
    <w:p>
      <w:pPr>
        <w:pStyle w:val="BodyTextIndent"/>
        <w:tabs>
          <w:tab w:val="clear" w:pos="720"/>
          <w:tab w:val="left" w:pos="810" w:leader="none"/>
          <w:tab w:val="left" w:pos="4320" w:leader="none"/>
        </w:tabs>
        <w:rPr>
          <w:sz w:val="20"/>
        </w:rPr>
      </w:pPr>
      <w:r>
        <w:rPr>
          <w:sz w:val="20"/>
        </w:rPr>
      </w:r>
    </w:p>
    <w:p>
      <w:pPr>
        <w:pStyle w:val="BodyTextIndent"/>
        <w:tabs>
          <w:tab w:val="clear" w:pos="720"/>
          <w:tab w:val="left" w:pos="810" w:leader="none"/>
          <w:tab w:val="left" w:pos="5040" w:leader="none"/>
        </w:tabs>
        <w:ind w:hanging="0" w:end="0"/>
        <w:rPr>
          <w:sz w:val="20"/>
        </w:rPr>
      </w:pPr>
      <w:r>
        <w:rPr>
          <w:sz w:val="20"/>
        </w:rPr>
        <w:t xml:space="preserve">Enron North America Corp. </w:t>
        <w:tab/>
        <w:t>WeBco International LLC</w:t>
      </w:r>
    </w:p>
    <w:p>
      <w:pPr>
        <w:pStyle w:val="BodyTextIndent"/>
        <w:tabs>
          <w:tab w:val="clear" w:pos="720"/>
          <w:tab w:val="left" w:pos="810" w:leader="none"/>
          <w:tab w:val="left" w:pos="4140" w:leader="none"/>
        </w:tabs>
        <w:ind w:hanging="0" w:end="0"/>
        <w:rPr>
          <w:sz w:val="20"/>
        </w:rPr>
      </w:pPr>
      <w:r>
        <w:rPr>
          <w:sz w:val="20"/>
        </w:rPr>
      </w:r>
    </w:p>
    <w:p>
      <w:pPr>
        <w:pStyle w:val="BodyTextIndent"/>
        <w:tabs>
          <w:tab w:val="clear" w:pos="720"/>
          <w:tab w:val="left" w:pos="810" w:leader="none"/>
          <w:tab w:val="left" w:pos="4140" w:leader="none"/>
        </w:tabs>
        <w:ind w:hanging="0" w:end="0"/>
        <w:rPr>
          <w:sz w:val="20"/>
        </w:rPr>
      </w:pPr>
      <w:r>
        <w:rPr>
          <w:sz w:val="20"/>
        </w:rPr>
      </w:r>
    </w:p>
    <w:p>
      <w:pPr>
        <w:pStyle w:val="BodyTextIndent"/>
        <w:tabs>
          <w:tab w:val="clear" w:pos="720"/>
          <w:tab w:val="left" w:pos="810" w:leader="none"/>
          <w:tab w:val="left" w:pos="4140" w:leader="none"/>
          <w:tab w:val="left" w:pos="5040" w:leader="none"/>
        </w:tabs>
        <w:ind w:hanging="0" w:end="0"/>
        <w:rPr>
          <w:sz w:val="20"/>
        </w:rPr>
      </w:pPr>
      <w:r>
        <w:rPr>
          <w:sz w:val="20"/>
        </w:rPr>
        <w:t>By: _________________________</w:t>
        <w:tab/>
        <w:tab/>
        <w:t>By:  ________________________</w:t>
        <w:tab/>
      </w:r>
    </w:p>
    <w:p>
      <w:pPr>
        <w:pStyle w:val="BodyTextIndent"/>
        <w:tabs>
          <w:tab w:val="clear" w:pos="720"/>
          <w:tab w:val="left" w:pos="810" w:leader="none"/>
          <w:tab w:val="left" w:pos="4140" w:leader="none"/>
          <w:tab w:val="left" w:pos="5040" w:leader="none"/>
        </w:tabs>
        <w:ind w:hanging="0" w:end="0"/>
        <w:rPr>
          <w:sz w:val="20"/>
        </w:rPr>
      </w:pPr>
      <w:r>
        <w:rPr>
          <w:sz w:val="20"/>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sz w:val="20"/>
        </w:rPr>
      </w:pPr>
      <w:r>
        <w:rPr>
          <w:sz w:val="20"/>
        </w:rPr>
        <w:t>Title: ________________________</w:t>
        <w:tab/>
        <w:tab/>
        <w:t>Title: _______________________</w:t>
        <w:tab/>
      </w:r>
    </w:p>
    <w:p>
      <w:pPr>
        <w:pStyle w:val="Header"/>
        <w:widowControl/>
        <w:tabs>
          <w:tab w:val="clear" w:pos="4320"/>
          <w:tab w:val="clear" w:pos="8640"/>
        </w:tabs>
        <w:rPr>
          <w:sz w:val="20"/>
        </w:rPr>
      </w:pPr>
      <w:r>
        <w:rPr>
          <w:sz w:val="20"/>
        </w:rPr>
      </w:r>
    </w:p>
    <w:sectPr>
      <w:headerReference w:type="default" r:id="rId3"/>
      <w:footerReference w:type="default" r:id="rId4"/>
      <w:type w:val="nextPage"/>
      <w:pgSz w:w="12240" w:h="15840"/>
      <w:pgMar w:left="1440" w:right="1440" w:gutter="0" w:header="450" w:top="720" w:footer="480" w:bottom="90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Deal No &lt;&lt;Deal Number&gt;&gt;</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BodyTextIndent">
    <w:name w:val="Body Text Indent"/>
    <w:basedOn w:val="Normal"/>
    <w:pPr>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2001-01-18T18:03:00Z</dcterms:created>
  <dc:creator>Diane Anderson</dc:creator>
  <dc:description/>
  <dc:language>en-CA</dc:language>
  <cp:lastModifiedBy>Tiffany Williams</cp:lastModifiedBy>
  <dcterms:modified xsi:type="dcterms:W3CDTF">2001-01-25T15:25:00Z</dcterms:modified>
  <cp:revision>9</cp:revision>
  <dc:subject/>
  <dc:title> </dc:title>
</cp:coreProperties>
</file>