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rPr>
      </w:pPr>
      <w:r>
        <w:rPr>
          <w:sz w:val="20"/>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sz w:val="20"/>
        </w:rPr>
      </w:pPr>
      <w:r>
        <w:rPr>
          <w:sz w:val="20"/>
        </w:rPr>
      </w:r>
    </w:p>
    <w:p>
      <w:pPr>
        <w:pStyle w:val="Normal"/>
        <w:tabs>
          <w:tab w:val="clear" w:pos="720"/>
          <w:tab w:val="left" w:pos="360" w:leader="none"/>
        </w:tabs>
        <w:spacing w:before="0" w:after="120"/>
        <w:jc w:val="both"/>
        <w:rPr/>
      </w:pPr>
      <w:r>
        <w:rPr>
          <w:sz w:val="20"/>
        </w:rPr>
        <w:t xml:space="preserve">1.  </w:t>
      </w:r>
      <w:r>
        <w:rPr>
          <w:b/>
          <w:sz w:val="20"/>
          <w:u w:val="single"/>
        </w:rPr>
        <w:t>Representations</w:t>
      </w:r>
      <w:r>
        <w:rPr>
          <w:sz w:val="20"/>
        </w:rPr>
        <w:t xml:space="preserve">.  Each of EESI and Customer represents and warrants to the other that (a) </w:t>
      </w:r>
      <w:r>
        <w:rPr>
          <w:sz w:val="20"/>
          <w:u w:val="single"/>
        </w:rPr>
        <w:t>Authority/Taxation</w:t>
      </w:r>
      <w:r>
        <w:rPr>
          <w:sz w:val="20"/>
        </w:rPr>
        <w:t xml:space="preserve">  (i) the execution, delivery and performance of the Confirmation have been duly authorized by all necessary corporate or other organization action on its part, (ii) the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the Confirmation; and (b) </w:t>
      </w:r>
      <w:r>
        <w:rPr>
          <w:sz w:val="20"/>
          <w:u w:val="single"/>
        </w:rPr>
        <w:t>Eligible Contract Participant</w:t>
      </w:r>
      <w:r>
        <w:rPr>
          <w:sz w:val="20"/>
        </w:rPr>
        <w:t xml:space="preserve">  It constitutes an “eligible contract participant” as such term is defined in the Commodity Exchange Act, as amended 7 U.S.C. §1a(12); and (c) </w:t>
      </w:r>
      <w:r>
        <w:rPr>
          <w:sz w:val="20"/>
          <w:u w:val="single"/>
        </w:rPr>
        <w:t>No Reliance</w:t>
      </w:r>
      <w:r>
        <w:rPr>
          <w:sz w:val="20"/>
        </w:rPr>
        <w:t xml:space="preserve"> (i) the other Party to the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Confirmation or the expected performance or result of the Confirmation; and (ii) in connection with the negotiation and execution of the Confirmation, (1) it is acting as a principal (and not as an agent or in any other capacity, fiduciary or otherwise), (2) it is not relying upon any advice, counsel or representations (whether written or oral) of the other  Party other than the representations expressly set forth in the Confirmation, (3) it has made and will make its own decisions regarding the entering into of the Confirmation based upon its own judgment and upon the advice from such professional advisors as it deemed, or will deem, necessary to consult, (4) all of its decisions regarding the Confirmation have been the result of arm’s length negotiations between the Parties, and (5) it has a full understanding of all the terms, conditions and risks (economic and otherwise) of the Confirmation, and it is capable of assuming and willing to assume (financially and otherwise) those risks; and (d) </w:t>
      </w:r>
      <w:r>
        <w:rPr>
          <w:sz w:val="20"/>
          <w:u w:val="single"/>
        </w:rPr>
        <w:t>Absence of Litigation</w:t>
      </w:r>
      <w:r>
        <w:rPr>
          <w:sz w:val="20"/>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the Confirmation or any Credit Support Document to which it or its Affiliates is a  party or its or its Affiliates ability to perform their respective obligations under the Confirmation or such Credit Support Document.</w:t>
      </w:r>
    </w:p>
    <w:p>
      <w:pPr>
        <w:pStyle w:val="Normal"/>
        <w:tabs>
          <w:tab w:val="clear" w:pos="720"/>
          <w:tab w:val="left" w:pos="360" w:leader="none"/>
        </w:tabs>
        <w:spacing w:before="0" w:after="120"/>
        <w:jc w:val="both"/>
        <w:rPr/>
      </w:pPr>
      <w:r>
        <w:rPr>
          <w:sz w:val="20"/>
        </w:rPr>
        <w:t xml:space="preserve">2.  </w:t>
      </w:r>
      <w:r>
        <w:rPr>
          <w:b/>
          <w:sz w:val="20"/>
          <w:u w:val="single"/>
        </w:rPr>
        <w:t>Payments</w:t>
      </w:r>
      <w:r>
        <w:rPr>
          <w:sz w:val="20"/>
        </w:rPr>
        <w:t xml:space="preserve">.  For each Determination Period, on the applicable Payment Date with respect to (a) a </w:t>
      </w:r>
      <w:r>
        <w:rPr>
          <w:sz w:val="20"/>
          <w:u w:val="single"/>
        </w:rPr>
        <w:t>SWAP</w:t>
      </w:r>
      <w:r>
        <w:rPr>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sz w:val="20"/>
          <w:u w:val="single"/>
        </w:rPr>
        <w:t>OPTION</w:t>
      </w:r>
      <w:r>
        <w:rPr>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caps/>
          <w:sz w:val="20"/>
          <w:u w:val="single"/>
        </w:rPr>
        <w:t>Collar</w:t>
      </w:r>
      <w:r>
        <w:rPr>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caps/>
          <w:sz w:val="20"/>
          <w:u w:val="single"/>
        </w:rPr>
        <w:t>Swaption</w:t>
      </w:r>
      <w:r>
        <w:rPr>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caps/>
          <w:sz w:val="20"/>
          <w:u w:val="single"/>
        </w:rPr>
        <w:t>Total Premium</w:t>
      </w:r>
      <w:r>
        <w:rPr>
          <w:sz w:val="20"/>
        </w:rPr>
        <w:t xml:space="preserve"> (if any) for an Option, Collar or Swaption, the Total Premium is due and payable by the Buyer or Premium Payor (as the case may be) to the other  Party on the Premium Payment Date(s).</w:t>
      </w:r>
    </w:p>
    <w:p>
      <w:pPr>
        <w:pStyle w:val="BodyText"/>
        <w:spacing w:before="0" w:after="120"/>
        <w:rPr>
          <w:rFonts w:ascii="Times New Roman" w:hAnsi="Times New Roman" w:cs="Times New Roman"/>
          <w:sz w:val="20"/>
        </w:rPr>
      </w:pPr>
      <w:r>
        <w:rPr>
          <w:rFonts w:cs="Times New Roman" w:ascii="Times New Roman" w:hAnsi="Times New Roman"/>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spacing w:before="0" w:after="120"/>
        <w:jc w:val="both"/>
        <w:rPr>
          <w:sz w:val="20"/>
        </w:rPr>
      </w:pPr>
      <w:r>
        <w:rPr>
          <w:sz w:val="20"/>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pPr>
      <w:r>
        <w:rPr>
          <w:sz w:val="20"/>
        </w:rPr>
        <w:t xml:space="preserve">3.  </w:t>
      </w:r>
      <w:r>
        <w:rPr>
          <w:b/>
          <w:sz w:val="20"/>
          <w:u w:val="single"/>
        </w:rPr>
        <w:t>Events of Default</w:t>
      </w:r>
      <w:r>
        <w:rPr>
          <w:sz w:val="20"/>
        </w:rPr>
        <w:t>.  An event of default ("Event of Default") shall mean with respect to a  Party (the "Defaulting Party"), or, if applicable, the Credit Support Provider of such Party, any of the following:  (a) the failure by the Defaulting Party to make, when due, any payment required under the Confirmation if such failure is not remedied within three Business Days after notice of such failure is given to the Defaulting Party; (b) any representation or warranty made by the Defaulting Party or its Credit Support Provider, if any, in the Confirmation shall prove to have been false or misleading in any material respect; (c) the breach by the Defaulting Party or its Credit Support Provider, if any, of any other covenant or agreement set forth in the Agreement (except to the extent constituting a separate Event of Default hereunder) and such failure is not cured within ten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the Confirmation or (z) the resulting entity’s creditworthiness is materially weaker than that of the Defaulting Party; or (f) an event of default occurs (howsoever determined) under any other Transaction between the  Parties; or (g) the failure to establish, maintain, renew, substitute or increase the Performance Assurance, if any, as defined in, and in accordance with the terms and provisions of, the Credit Support Annex.</w:t>
      </w:r>
    </w:p>
    <w:p>
      <w:pPr>
        <w:pStyle w:val="Normal"/>
        <w:tabs>
          <w:tab w:val="clear" w:pos="720"/>
          <w:tab w:val="left" w:pos="810" w:leader="none"/>
          <w:tab w:val="left" w:pos="1170" w:leader="none"/>
        </w:tabs>
        <w:jc w:val="both"/>
        <w:rPr>
          <w:sz w:val="20"/>
        </w:rPr>
      </w:pPr>
      <w:r>
        <w:rPr>
          <w:sz w:val="20"/>
        </w:rPr>
      </w:r>
    </w:p>
    <w:p>
      <w:pPr>
        <w:pStyle w:val="Normal"/>
        <w:tabs>
          <w:tab w:val="clear" w:pos="720"/>
          <w:tab w:val="left" w:pos="810" w:leader="none"/>
          <w:tab w:val="left" w:pos="1170" w:leader="none"/>
        </w:tabs>
        <w:jc w:val="both"/>
        <w:rPr>
          <w:sz w:val="20"/>
        </w:rPr>
      </w:pPr>
      <w:r>
        <w:rPr>
          <w:sz w:val="20"/>
        </w:rPr>
        <w:t xml:space="preserve">4.  </w:t>
      </w:r>
      <w:r>
        <w:rPr>
          <w:b/>
          <w:sz w:val="20"/>
          <w:u w:val="single"/>
        </w:rPr>
        <w:t>Remedies</w:t>
      </w:r>
      <w:r>
        <w:rPr>
          <w:sz w:val="20"/>
        </w:rPr>
        <w:t>.  If an Event of Default shall have occurred and shall be continuing the Non-Defaulting Party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sz w:val="20"/>
          <w:u w:val="single"/>
        </w:rPr>
        <w:t>Costs</w:t>
      </w:r>
      <w:r>
        <w:rPr>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sz w:val="20"/>
          <w:u w:val="single"/>
        </w:rPr>
        <w:t>Gains</w:t>
      </w:r>
      <w:r>
        <w:rPr>
          <w:sz w:val="20"/>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sz w:val="20"/>
          <w:u w:val="single"/>
        </w:rPr>
        <w:t>Losses</w:t>
      </w:r>
      <w:r>
        <w:rPr>
          <w:sz w:val="20"/>
        </w:rPr>
        <w:t xml:space="preserve">" shall mean an amount equal to the present value of the economic loss, if any, (exclusive of Costs) to it resulting from the termination of its obligations with respect to a Transaction, determined in a commercially reasonable manner.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spacing w:lineRule="exact" w:line="240" w:before="240" w:after="0"/>
        <w:jc w:val="both"/>
        <w:rPr/>
      </w:pPr>
      <w:r>
        <w:rPr>
          <w:sz w:val="20"/>
        </w:rPr>
        <w:t xml:space="preserve">5.  </w:t>
      </w:r>
      <w:r>
        <w:rPr>
          <w:b/>
          <w:sz w:val="20"/>
          <w:u w:val="single"/>
        </w:rPr>
        <w:t>Setoff</w:t>
      </w:r>
      <w:r>
        <w:rPr>
          <w:sz w:val="20"/>
        </w:rPr>
        <w:t xml:space="preserve">.  </w:t>
      </w:r>
      <w:r>
        <w:rPr>
          <w:color w:val="000000"/>
          <w:sz w:val="20"/>
        </w:rPr>
        <w:t xml:space="preserve"> Upon the designation of an Early Termination Date the Non-Defaulting Party may, at its option and in its discretion, setoff, against any amounts Owed to the Defaulting Party in Dollars or any other currency by Non-Defaulting Party or any Affiliate of Non-Defaulting Party under the Confirmation or under any other agreement(s), instrument(s) or undertaking(s), any amounts Owed in Dollars or any other currency by Defaulting Party to Non-Defaulting Party or any of Non-Defaulting Party's Affiliates (irrespective of place of payment or booking office of the obligation) under the Confirmation or under any other agreement(s), instrument(s) or undertaking(s).  The obligations of Defaulting Party and Non-Defaulting Party under the Confirmation in respect of such amounts shall be deemed satisfied and discharged to the extent of any such setoff exercised by Non-Defaulting Party and/or Non-Defaulting Party's Affiliates.  Non-Defaulting Party will give Defaulting Party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Non-Defaulting Party into any currency in which any obligation Owed is denominated at the rate of exchange at which Non-Defaulting Party, acting in a reasonable manner and in good faith, would be able to purchase the relevant amount of the currency being converted.  If an obligation is unascertained, Non-Defaulting Party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the Confirmation between the  Parties and that without such rights the  Parties would not be willing to enter into any Transaction.  Each of the  Parties further acknowledges that it is executing the Confirmation on behalf of itself as principal and, with respect to this Section, as agent on behalf of its Affiliates, which Affiliates shall receive the benefits of this Section and otherwise be bound as if such Affiliates had directly signed the Confirmation as it relates to this Section.  Notwithstanding any provision to the contrary contained in the Confirmation, the Non-Defaulting Party shall not be required to pay to the Defaulting Party any amount under Section 4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the Confirmation or under any other agreement(s), instrument(s) or undertaking(s), which are Owed as of the Early Termination Date hereof have been fully and finally satisfied.</w:t>
      </w:r>
    </w:p>
    <w:p>
      <w:pPr>
        <w:pStyle w:val="Normal"/>
        <w:spacing w:lineRule="exact" w:line="240" w:before="240" w:after="240"/>
        <w:jc w:val="both"/>
        <w:rPr/>
      </w:pPr>
      <w:r>
        <w:rPr>
          <w:sz w:val="20"/>
        </w:rPr>
        <w:t>6.</w:t>
      </w:r>
      <w:r>
        <w:rPr>
          <w:rFonts w:cs="Arial Narrow" w:ascii="Arial Narrow" w:hAnsi="Arial Narrow"/>
          <w:sz w:val="18"/>
        </w:rPr>
        <w:t xml:space="preserve">    </w:t>
      </w:r>
      <w:r>
        <w:rPr>
          <w:b/>
          <w:sz w:val="20"/>
          <w:u w:val="single"/>
        </w:rPr>
        <w:t>Credit Support</w:t>
      </w:r>
      <w:r>
        <w:rPr>
          <w:b/>
          <w:sz w:val="20"/>
        </w:rPr>
        <w:t>.</w:t>
      </w:r>
      <w:r>
        <w:rPr>
          <w:sz w:val="20"/>
        </w:rPr>
        <w:t xml:space="preserve">  In consideration of, and to support the financial accommodations contemplated to be extended to each party by the other party under the Agreement, each Party shall provide Performance Assurance to the other Party from time to time as provided in the Credit Support Annex, the provisions of any and all of which are incorporated herein by this reference.</w:t>
      </w:r>
    </w:p>
    <w:p>
      <w:pPr>
        <w:pStyle w:val="Normal"/>
        <w:tabs>
          <w:tab w:val="clear" w:pos="720"/>
          <w:tab w:val="left" w:pos="810" w:leader="none"/>
          <w:tab w:val="left" w:pos="1170" w:leader="none"/>
        </w:tabs>
        <w:spacing w:before="0" w:after="120"/>
        <w:jc w:val="both"/>
        <w:rPr/>
      </w:pPr>
      <w:r>
        <w:rPr>
          <w:sz w:val="20"/>
        </w:rPr>
        <w:t xml:space="preserve">7.  </w:t>
      </w:r>
      <w:r>
        <w:rPr>
          <w:b/>
          <w:sz w:val="20"/>
          <w:u w:val="single"/>
        </w:rPr>
        <w:t>Miscellaneous</w:t>
      </w:r>
      <w:r>
        <w:rPr>
          <w:sz w:val="20"/>
        </w:rPr>
        <w:t>.  The Confirmation shall (a) be governed by, interpreted and construed in accordance with the laws of the jurisdiction (excluding conflict of laws principles) specified in the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the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the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the Confirmation or as may be subsequently designated by effective notice.  The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spacing w:before="0" w:after="120"/>
        <w:jc w:val="both"/>
        <w:rPr>
          <w:sz w:val="20"/>
        </w:rPr>
      </w:pPr>
      <w:r>
        <w:rPr>
          <w:sz w:val="20"/>
        </w:rPr>
        <w:t>Any dispute relating to the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the Confirmation may be awarded and the arbitrators shall have no authority to award treble, exemplary or punitive damages of any kind under any circumstances regardless of whether such damages may be available under the governing law for the Confirmation and/or the FAA or AAA.  The arbitration shall be conducted in New York City, New York, if New York law governs the Confirmation, otherwise in Houston, Texas and such arbitration, and any related award shall be confidential.</w:t>
      </w:r>
    </w:p>
    <w:p>
      <w:pPr>
        <w:pStyle w:val="Normal"/>
        <w:tabs>
          <w:tab w:val="clear" w:pos="720"/>
          <w:tab w:val="left" w:pos="810" w:leader="none"/>
          <w:tab w:val="left" w:pos="1170" w:leader="none"/>
        </w:tabs>
        <w:spacing w:before="0" w:after="120"/>
        <w:jc w:val="both"/>
        <w:rPr>
          <w:sz w:val="20"/>
        </w:rPr>
      </w:pPr>
      <w:r>
        <w:rPr>
          <w:sz w:val="20"/>
        </w:rPr>
        <w:t>The contents of the Confirmation and all other documents relating to the Confirmation or Annex B, if any, and any information made available by one  Party or its Credit Support Provider, if any, to the other  Party or its Credit Support Provider, if any, with respect to the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spacing w:before="0" w:after="120"/>
        <w:jc w:val="both"/>
        <w:rPr/>
      </w:pPr>
      <w:r>
        <w:rPr>
          <w:sz w:val="20"/>
        </w:rPr>
        <w:t xml:space="preserve">If any term, provision, covenant, or condition of the Confirmation, or the application thereof to any  Party or circumstance, shall be held to be invalid or unenforceable (in whole or in part) for any reason, the remaining terms, provisions, covenants, and conditions hereof shall continue in full force and effect as if the Confirmation had been executed with the invalid or unenforceable portion eliminated, so long as the Confirmation as so modified continues to express, without material change, the original intentions of the  Parties as to the subject matter of the Confirmation and the deletion of such portion of the Confirmation will not substantially impair the respective benefits or expectations of the  Parties to the Confirmation; </w:t>
      </w:r>
      <w:r>
        <w:rPr>
          <w:sz w:val="20"/>
          <w:u w:val="single"/>
        </w:rPr>
        <w:t>provided</w:t>
      </w:r>
      <w:r>
        <w:rPr>
          <w:sz w:val="20"/>
        </w:rPr>
        <w:t xml:space="preserve">, </w:t>
      </w:r>
      <w:r>
        <w:rPr>
          <w:sz w:val="20"/>
          <w:u w:val="single"/>
        </w:rPr>
        <w:t>however</w:t>
      </w:r>
      <w:r>
        <w:rPr>
          <w:sz w:val="20"/>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spacing w:before="0" w:after="120"/>
        <w:jc w:val="both"/>
        <w:rPr/>
      </w:pPr>
      <w:r>
        <w:rPr>
          <w:sz w:val="20"/>
        </w:rPr>
        <w:t xml:space="preserve">8.  </w:t>
      </w:r>
      <w:r>
        <w:rPr>
          <w:b/>
          <w:sz w:val="20"/>
          <w:u w:val="single"/>
        </w:rPr>
        <w:t>Market Disruption</w:t>
      </w:r>
      <w:r>
        <w:rPr>
          <w:sz w:val="20"/>
        </w:rPr>
        <w:t xml:space="preserve">.  If a Market Disruption Event has occurred and is continuing on any Trading Day, the Floating Price for such Trading Day shall be determined pursuant to the Floating Price Source specified in the Confirmation for the first Trading Day thereafter on which no Market Disruption Event exists; </w:t>
      </w:r>
      <w:r>
        <w:rPr>
          <w:sz w:val="20"/>
          <w:u w:val="single"/>
        </w:rPr>
        <w:t>provided</w:t>
      </w:r>
      <w:r>
        <w:rPr>
          <w:sz w:val="20"/>
        </w:rPr>
        <w:t xml:space="preserve">, </w:t>
      </w:r>
      <w:r>
        <w:rPr>
          <w:sz w:val="20"/>
          <w:u w:val="single"/>
        </w:rPr>
        <w:t>however</w:t>
      </w:r>
      <w:r>
        <w:rPr>
          <w:sz w:val="20"/>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the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EESI, by taking the average of two or more dealer quotes. </w:t>
      </w:r>
    </w:p>
    <w:p>
      <w:pPr>
        <w:pStyle w:val="Normal"/>
        <w:tabs>
          <w:tab w:val="clear" w:pos="720"/>
          <w:tab w:val="left" w:pos="810" w:leader="none"/>
          <w:tab w:val="left" w:pos="1170" w:leader="none"/>
        </w:tabs>
        <w:spacing w:before="0" w:after="120"/>
        <w:jc w:val="both"/>
        <w:rPr/>
      </w:pPr>
      <w:r>
        <w:rPr>
          <w:sz w:val="20"/>
        </w:rPr>
        <w:t xml:space="preserve">9. </w:t>
      </w:r>
      <w:r>
        <w:rPr>
          <w:i/>
          <w:sz w:val="20"/>
        </w:rPr>
        <w:t xml:space="preserve"> </w:t>
      </w:r>
      <w:r>
        <w:rPr>
          <w:b/>
          <w:sz w:val="20"/>
          <w:u w:val="single"/>
        </w:rPr>
        <w:t>General Definitions</w:t>
      </w:r>
      <w:r>
        <w:rPr>
          <w:sz w:val="20"/>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spacing w:before="0" w:after="120"/>
        <w:jc w:val="both"/>
        <w:rPr/>
      </w:pPr>
      <w:r>
        <w:rPr>
          <w:i/>
          <w:sz w:val="20"/>
        </w:rPr>
        <w:t>"</w:t>
      </w:r>
      <w:r>
        <w:rPr>
          <w:i/>
          <w:sz w:val="20"/>
          <w:u w:val="single"/>
        </w:rPr>
        <w:t>Affiliate</w:t>
      </w:r>
      <w:r>
        <w:rPr>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spacing w:before="0" w:after="120"/>
        <w:jc w:val="both"/>
        <w:rPr/>
      </w:pPr>
      <w:r>
        <w:rPr>
          <w:sz w:val="20"/>
        </w:rPr>
        <w:t>"</w:t>
      </w:r>
      <w:r>
        <w:rPr>
          <w:i/>
          <w:sz w:val="20"/>
          <w:u w:val="single"/>
        </w:rPr>
        <w:t>American</w:t>
      </w:r>
      <w:r>
        <w:rPr>
          <w:sz w:val="20"/>
        </w:rPr>
        <w:t>" means a style of Option pursuant to which the right(s) granted are exercisable on any Business Day during an Exercise Period that consists of more than one day.</w:t>
      </w:r>
    </w:p>
    <w:p>
      <w:pPr>
        <w:pStyle w:val="Normal"/>
        <w:spacing w:before="0" w:after="120"/>
        <w:jc w:val="both"/>
        <w:rPr/>
      </w:pPr>
      <w:r>
        <w:rPr>
          <w:sz w:val="20"/>
        </w:rPr>
        <w:t>"</w:t>
      </w:r>
      <w:r>
        <w:rPr>
          <w:i/>
          <w:sz w:val="20"/>
          <w:u w:val="single"/>
        </w:rPr>
        <w:t>Asian</w:t>
      </w:r>
      <w:r>
        <w:rPr>
          <w:i/>
          <w:sz w:val="20"/>
        </w:rPr>
        <w:t>"</w:t>
      </w:r>
      <w:r>
        <w:rPr>
          <w:sz w:val="20"/>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spacing w:before="0" w:after="120"/>
        <w:jc w:val="both"/>
        <w:rPr/>
      </w:pPr>
      <w:r>
        <w:rPr>
          <w:sz w:val="20"/>
        </w:rPr>
        <w:t>"</w:t>
      </w:r>
      <w:r>
        <w:rPr>
          <w:i/>
          <w:sz w:val="20"/>
          <w:u w:val="single"/>
        </w:rPr>
        <w:t>Automatic Exercise</w:t>
      </w:r>
      <w:r>
        <w:rPr>
          <w:sz w:val="20"/>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spacing w:before="0" w:after="120"/>
        <w:jc w:val="both"/>
        <w:rPr/>
      </w:pPr>
      <w:r>
        <w:rPr>
          <w:sz w:val="20"/>
        </w:rPr>
        <w:t>"</w:t>
      </w:r>
      <w:r>
        <w:rPr>
          <w:i/>
          <w:sz w:val="20"/>
          <w:u w:val="single"/>
        </w:rPr>
        <w:t>Business Day</w:t>
      </w:r>
      <w:r>
        <w:rPr>
          <w:sz w:val="20"/>
        </w:rPr>
        <w:t>" means a day on which commercial banks are open for business in  New York, New York, Houston, Texas and in the cities where the  Parties' addresses are located as specified in the Confirmation.</w:t>
      </w:r>
    </w:p>
    <w:p>
      <w:pPr>
        <w:pStyle w:val="Normal"/>
        <w:spacing w:before="0" w:after="120"/>
        <w:jc w:val="both"/>
        <w:rPr/>
      </w:pPr>
      <w:r>
        <w:rPr>
          <w:sz w:val="20"/>
        </w:rPr>
        <w:t>"</w:t>
      </w:r>
      <w:r>
        <w:rPr>
          <w:i/>
          <w:sz w:val="20"/>
          <w:u w:val="single"/>
        </w:rPr>
        <w:t>Call</w:t>
      </w:r>
      <w:r>
        <w:rPr>
          <w:sz w:val="20"/>
        </w:rPr>
        <w:t>" means an Option entitling Buyer to receive after exercise the Cash Settlement Amount on the applicable Payment Date(s) if the Floating Price exceeds the Strike Price.</w:t>
      </w:r>
    </w:p>
    <w:p>
      <w:pPr>
        <w:pStyle w:val="Normal"/>
        <w:spacing w:before="0" w:after="120"/>
        <w:jc w:val="both"/>
        <w:rPr/>
      </w:pPr>
      <w:r>
        <w:rPr>
          <w:sz w:val="20"/>
        </w:rPr>
        <w:t>“</w:t>
      </w:r>
      <w:r>
        <w:rPr>
          <w:i/>
          <w:sz w:val="20"/>
          <w:u w:val="single"/>
        </w:rPr>
        <w:t>Cap Amount</w:t>
      </w:r>
      <w:r>
        <w:rPr>
          <w:sz w:val="20"/>
        </w:rPr>
        <w:t>” means an amount equal to the product of (a) the Notional Quantity per Determination Period multiplied by (b) the Cap Price, or as otherwise provided in the Confirmation.</w:t>
      </w:r>
    </w:p>
    <w:p>
      <w:pPr>
        <w:pStyle w:val="Normal"/>
        <w:spacing w:before="0" w:after="120"/>
        <w:jc w:val="both"/>
        <w:rPr/>
      </w:pPr>
      <w:r>
        <w:rPr>
          <w:sz w:val="20"/>
        </w:rPr>
        <w:t>"</w:t>
      </w:r>
      <w:r>
        <w:rPr>
          <w:i/>
          <w:sz w:val="20"/>
          <w:u w:val="single"/>
        </w:rPr>
        <w:t>Cash Settlement Amount</w:t>
      </w:r>
      <w:r>
        <w:rPr>
          <w:sz w:val="20"/>
        </w:rPr>
        <w:t>" means, in respect of an Option, an amount (if any) that is payable by Seller on the applicable Payment Date(s) and is determined as provided in the Confirmation governing such Option.</w:t>
      </w:r>
    </w:p>
    <w:p>
      <w:pPr>
        <w:pStyle w:val="Normal"/>
        <w:spacing w:before="0" w:after="120"/>
        <w:jc w:val="both"/>
        <w:rPr/>
      </w:pPr>
      <w:r>
        <w:rPr>
          <w:i/>
          <w:sz w:val="20"/>
        </w:rPr>
        <w:t>"</w:t>
      </w:r>
      <w:r>
        <w:rPr>
          <w:i/>
          <w:sz w:val="20"/>
          <w:u w:val="single"/>
        </w:rPr>
        <w:t>Credit Support Annex</w:t>
      </w:r>
      <w:r>
        <w:rPr>
          <w:i/>
          <w:sz w:val="20"/>
        </w:rPr>
        <w:t>"</w:t>
      </w:r>
      <w:r>
        <w:rPr>
          <w:sz w:val="20"/>
        </w:rPr>
        <w:t xml:space="preserve"> shall mean the </w:t>
      </w:r>
      <w:r>
        <w:rPr>
          <w:sz w:val="20"/>
          <w:u w:val="single"/>
        </w:rPr>
        <w:t>Annex B,</w:t>
      </w:r>
      <w:r>
        <w:rPr>
          <w:sz w:val="20"/>
        </w:rPr>
        <w:t xml:space="preserve"> if any, to which the Confirmation is attached and made a part thereof.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spacing w:before="0" w:after="120"/>
        <w:jc w:val="both"/>
        <w:rPr/>
      </w:pPr>
      <w:r>
        <w:rPr>
          <w:i/>
          <w:sz w:val="20"/>
        </w:rPr>
        <w:t>"</w:t>
      </w:r>
      <w:r>
        <w:rPr>
          <w:i/>
          <w:sz w:val="20"/>
          <w:u w:val="single"/>
        </w:rPr>
        <w:t>Credit Support Documents</w:t>
      </w:r>
      <w:r>
        <w:rPr>
          <w:i/>
          <w:sz w:val="20"/>
        </w:rPr>
        <w:t>"</w:t>
      </w:r>
      <w:r>
        <w:rPr>
          <w:sz w:val="20"/>
        </w:rPr>
        <w:t xml:space="preserve"> shall mean any guaranty, letter of credit, security agreement, the Credit Support Annex, and any other credit support document required by, or provided pursuant to, the Confirmation or this Annex A.</w:t>
      </w:r>
    </w:p>
    <w:p>
      <w:pPr>
        <w:pStyle w:val="Normal"/>
        <w:spacing w:before="0" w:after="120"/>
        <w:jc w:val="both"/>
        <w:rPr/>
      </w:pPr>
      <w:r>
        <w:rPr>
          <w:i/>
          <w:sz w:val="20"/>
        </w:rPr>
        <w:t>"</w:t>
      </w:r>
      <w:r>
        <w:rPr>
          <w:i/>
          <w:sz w:val="20"/>
          <w:u w:val="single"/>
        </w:rPr>
        <w:t>Credit Support Provider</w:t>
      </w:r>
      <w:r>
        <w:rPr>
          <w:i/>
          <w:sz w:val="20"/>
        </w:rPr>
        <w:t xml:space="preserve">" </w:t>
      </w:r>
      <w:r>
        <w:rPr>
          <w:sz w:val="20"/>
        </w:rPr>
        <w:t xml:space="preserve">if applicable, shall have the meaning set forth in </w:t>
      </w:r>
      <w:r>
        <w:rPr>
          <w:sz w:val="20"/>
          <w:u w:val="single"/>
        </w:rPr>
        <w:t>Annex B</w:t>
      </w:r>
      <w:r>
        <w:rPr>
          <w:sz w:val="20"/>
        </w:rPr>
        <w:t>, if any, to which the Confirmation is attached.</w:t>
      </w:r>
    </w:p>
    <w:p>
      <w:pPr>
        <w:pStyle w:val="Normal"/>
        <w:spacing w:before="0" w:after="120"/>
        <w:jc w:val="both"/>
        <w:rPr/>
      </w:pPr>
      <w:r>
        <w:rPr>
          <w:i/>
          <w:sz w:val="20"/>
        </w:rPr>
        <w:t>"</w:t>
      </w:r>
      <w:r>
        <w:rPr>
          <w:i/>
          <w:sz w:val="20"/>
          <w:u w:val="single"/>
        </w:rPr>
        <w:t>Determination Period</w:t>
      </w:r>
      <w:r>
        <w:rPr>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spacing w:before="0" w:after="120"/>
        <w:jc w:val="both"/>
        <w:rPr/>
      </w:pPr>
      <w:r>
        <w:rPr>
          <w:sz w:val="20"/>
        </w:rPr>
        <w:t>"</w:t>
      </w:r>
      <w:r>
        <w:rPr>
          <w:i/>
          <w:sz w:val="20"/>
          <w:u w:val="single"/>
        </w:rPr>
        <w:t>European</w:t>
      </w:r>
      <w:r>
        <w:rPr>
          <w:i/>
          <w:sz w:val="20"/>
        </w:rPr>
        <w:t>"</w:t>
      </w:r>
      <w:r>
        <w:rPr>
          <w:sz w:val="20"/>
        </w:rPr>
        <w:t xml:space="preserve"> means a style of Option pursuant to which the right(s) granted are exercisable only on the one day designated as the Exercise Period in the Confirmation, if any.</w:t>
      </w:r>
    </w:p>
    <w:p>
      <w:pPr>
        <w:pStyle w:val="Normal"/>
        <w:spacing w:before="0" w:after="120"/>
        <w:jc w:val="both"/>
        <w:rPr/>
      </w:pPr>
      <w:r>
        <w:rPr>
          <w:sz w:val="20"/>
        </w:rPr>
        <w:t>"</w:t>
      </w:r>
      <w:r>
        <w:rPr>
          <w:i/>
          <w:sz w:val="20"/>
          <w:u w:val="single"/>
        </w:rPr>
        <w:t>Fixed Amount</w:t>
      </w:r>
      <w:r>
        <w:rPr>
          <w:sz w:val="20"/>
        </w:rPr>
        <w:t>" means an amount equal to the product of (a) the Notional Quantity per Determination Period multiplied by (b) the Fixed Price, or as otherwise provided in the Confirmation.</w:t>
      </w:r>
    </w:p>
    <w:p>
      <w:pPr>
        <w:pStyle w:val="Normal"/>
        <w:spacing w:before="0" w:after="120"/>
        <w:jc w:val="both"/>
        <w:rPr/>
      </w:pPr>
      <w:r>
        <w:rPr>
          <w:sz w:val="20"/>
        </w:rPr>
        <w:t>"</w:t>
      </w:r>
      <w:r>
        <w:rPr>
          <w:i/>
          <w:sz w:val="20"/>
          <w:u w:val="single"/>
        </w:rPr>
        <w:t>Floating Amount</w:t>
      </w:r>
      <w:r>
        <w:rPr>
          <w:sz w:val="20"/>
        </w:rPr>
        <w:t>" means an amount equal to the product of (a) the Notional Quantity per Determination Period multiplied by (b) the Floating Price, or as otherwise provided in the Confirmation.</w:t>
      </w:r>
    </w:p>
    <w:p>
      <w:pPr>
        <w:pStyle w:val="Normal"/>
        <w:spacing w:before="0" w:after="120"/>
        <w:jc w:val="both"/>
        <w:rPr/>
      </w:pPr>
      <w:r>
        <w:rPr>
          <w:i/>
          <w:sz w:val="20"/>
        </w:rPr>
        <w:t>“</w:t>
      </w:r>
      <w:r>
        <w:rPr>
          <w:i/>
          <w:sz w:val="20"/>
          <w:u w:val="single"/>
        </w:rPr>
        <w:t>Floor Amount</w:t>
      </w:r>
      <w:r>
        <w:rPr>
          <w:sz w:val="20"/>
        </w:rPr>
        <w:t>” means an amount equal to the product of (a) the Notional Quantity per Determination Period multiplied by (b) the Floor Price, or as otherwise provided in the Confirmation.</w:t>
      </w:r>
    </w:p>
    <w:p>
      <w:pPr>
        <w:pStyle w:val="Normal"/>
        <w:spacing w:before="0" w:after="120"/>
        <w:jc w:val="both"/>
        <w:rPr/>
      </w:pPr>
      <w:r>
        <w:rPr>
          <w:sz w:val="20"/>
        </w:rPr>
        <w:t>"</w:t>
      </w:r>
      <w:r>
        <w:rPr>
          <w:i/>
          <w:sz w:val="20"/>
          <w:u w:val="single"/>
        </w:rPr>
        <w:t>Interest Rate</w:t>
      </w:r>
      <w:r>
        <w:rPr>
          <w:sz w:val="20"/>
        </w:rPr>
        <w:t xml:space="preserve">" means (a) with respect to a Non-Defaulting Party, a per annum rate of interest equal to the prime lending rate as may from time to time be published in </w:t>
      </w:r>
      <w:r>
        <w:rPr>
          <w:sz w:val="20"/>
          <w:u w:val="single"/>
        </w:rPr>
        <w:t>The Wall Street Journal</w:t>
      </w:r>
      <w:r>
        <w:rPr>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spacing w:before="0" w:after="120"/>
        <w:jc w:val="both"/>
        <w:rPr/>
      </w:pPr>
      <w:r>
        <w:rPr>
          <w:sz w:val="20"/>
        </w:rPr>
        <w:t>"</w:t>
      </w:r>
      <w:r>
        <w:rPr>
          <w:i/>
          <w:sz w:val="20"/>
          <w:u w:val="single"/>
        </w:rPr>
        <w:t>Market Disruption Event</w:t>
      </w:r>
      <w:r>
        <w:rPr>
          <w:sz w:val="20"/>
        </w:rPr>
        <w:t>" means, with respect to a Floating Price Source, any of the following events (the existence of which shall be determined in good faith by EESI):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spacing w:before="0" w:after="120"/>
        <w:jc w:val="both"/>
        <w:rPr/>
      </w:pPr>
      <w:r>
        <w:rPr>
          <w:sz w:val="20"/>
        </w:rPr>
        <w:t>"</w:t>
      </w:r>
      <w:r>
        <w:rPr>
          <w:i/>
          <w:sz w:val="20"/>
          <w:u w:val="single"/>
        </w:rPr>
        <w:t>Notice of Exercise</w:t>
      </w:r>
      <w:r>
        <w:rPr>
          <w:i/>
          <w:sz w:val="20"/>
        </w:rPr>
        <w:t>"</w:t>
      </w:r>
      <w:r>
        <w:rPr>
          <w:sz w:val="20"/>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spacing w:before="0" w:after="120"/>
        <w:jc w:val="both"/>
        <w:rPr/>
      </w:pPr>
      <w:r>
        <w:rPr>
          <w:sz w:val="20"/>
        </w:rPr>
        <w:t>"</w:t>
      </w:r>
      <w:r>
        <w:rPr>
          <w:i/>
          <w:sz w:val="20"/>
          <w:u w:val="single"/>
        </w:rPr>
        <w:t>Option</w:t>
      </w:r>
      <w:r>
        <w:rPr>
          <w:sz w:val="20"/>
        </w:rPr>
        <w:t>" means a Transaction that is a Call, Cap, Floor, Put, Swaption or is identified in the relevant Confirmation as an Option.</w:t>
      </w:r>
    </w:p>
    <w:p>
      <w:pPr>
        <w:pStyle w:val="Normal"/>
        <w:spacing w:before="0" w:after="120"/>
        <w:jc w:val="both"/>
        <w:rPr/>
      </w:pPr>
      <w:r>
        <w:rPr>
          <w:i/>
          <w:sz w:val="20"/>
        </w:rPr>
        <w:t>"</w:t>
      </w:r>
      <w:r>
        <w:rPr>
          <w:i/>
          <w:sz w:val="20"/>
          <w:u w:val="single"/>
        </w:rPr>
        <w:t>Performance Assurance</w:t>
      </w:r>
      <w:r>
        <w:rPr>
          <w:i/>
          <w:sz w:val="20"/>
        </w:rPr>
        <w:t>"</w:t>
      </w:r>
      <w:r>
        <w:rPr>
          <w:sz w:val="20"/>
        </w:rPr>
        <w:t xml:space="preserve"> shall mean any Eligible Collateral (as defined in the Credit Support Annex) provided in accordance with the provisions of the Credit Support Annex.</w:t>
      </w:r>
    </w:p>
    <w:p>
      <w:pPr>
        <w:pStyle w:val="Normal"/>
        <w:spacing w:before="0" w:after="120"/>
        <w:jc w:val="both"/>
        <w:rPr/>
      </w:pPr>
      <w:r>
        <w:rPr>
          <w:sz w:val="20"/>
        </w:rPr>
        <w:t>"</w:t>
      </w:r>
      <w:r>
        <w:rPr>
          <w:i/>
          <w:sz w:val="20"/>
          <w:u w:val="single"/>
        </w:rPr>
        <w:t>Put</w:t>
      </w:r>
      <w:r>
        <w:rPr>
          <w:sz w:val="20"/>
        </w:rPr>
        <w:t>" means an Option entitling Buyer to receive after exercise the Cash Settlement Amount on the applicable Payment Date(s) if the Strike Price exceeds the Floating Price.</w:t>
      </w:r>
    </w:p>
    <w:p>
      <w:pPr>
        <w:pStyle w:val="Normal"/>
        <w:spacing w:before="0" w:after="120"/>
        <w:jc w:val="both"/>
        <w:rPr/>
      </w:pPr>
      <w:r>
        <w:rPr>
          <w:sz w:val="20"/>
        </w:rPr>
        <w:t>"</w:t>
      </w:r>
      <w:r>
        <w:rPr>
          <w:i/>
          <w:sz w:val="20"/>
          <w:u w:val="single"/>
        </w:rPr>
        <w:t>Swaption</w:t>
      </w:r>
      <w:r>
        <w:rPr>
          <w:i/>
          <w:sz w:val="20"/>
        </w:rPr>
        <w:t>"</w:t>
      </w:r>
      <w:r>
        <w:rPr>
          <w:sz w:val="20"/>
        </w:rPr>
        <w:t xml:space="preserve"> means an Option to cause an Underlying Transaction to become effective.</w:t>
      </w:r>
    </w:p>
    <w:p>
      <w:pPr>
        <w:pStyle w:val="Normal"/>
        <w:spacing w:before="0" w:after="120"/>
        <w:jc w:val="both"/>
        <w:rPr/>
      </w:pPr>
      <w:r>
        <w:rPr>
          <w:sz w:val="20"/>
        </w:rPr>
        <w:t>"</w:t>
      </w:r>
      <w:r>
        <w:rPr>
          <w:i/>
          <w:sz w:val="20"/>
          <w:u w:val="single"/>
        </w:rPr>
        <w:t>Trading Day</w:t>
      </w:r>
      <w:r>
        <w:rPr>
          <w:i/>
          <w:sz w:val="20"/>
        </w:rPr>
        <w:t>"</w:t>
      </w:r>
      <w:r>
        <w:rPr>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spacing w:before="0" w:after="120"/>
        <w:jc w:val="both"/>
        <w:rPr/>
      </w:pPr>
      <w:r>
        <w:rPr>
          <w:sz w:val="20"/>
        </w:rPr>
        <w:t>"</w:t>
      </w:r>
      <w:r>
        <w:rPr>
          <w:i/>
          <w:sz w:val="20"/>
          <w:u w:val="single"/>
        </w:rPr>
        <w:t>Transaction</w:t>
      </w:r>
      <w:r>
        <w:rPr>
          <w:sz w:val="20"/>
        </w:rPr>
        <w:t>" means all swap, option or other financially-settled derivative transactions between the  Parties.</w:t>
      </w:r>
    </w:p>
    <w:p>
      <w:pPr>
        <w:pStyle w:val="Normal"/>
        <w:spacing w:before="0" w:after="120"/>
        <w:jc w:val="both"/>
        <w:rPr/>
      </w:pPr>
      <w:r>
        <w:rPr>
          <w:sz w:val="20"/>
        </w:rPr>
        <w:t>"</w:t>
      </w:r>
      <w:r>
        <w:rPr>
          <w:i/>
          <w:sz w:val="20"/>
          <w:u w:val="single"/>
        </w:rPr>
        <w:t>Underlying Transaction</w:t>
      </w:r>
      <w:r>
        <w:rPr>
          <w:sz w:val="20"/>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pPr>
      <w:r>
        <w:rPr>
          <w:sz w:val="20"/>
        </w:rPr>
        <w:t>"</w:t>
      </w:r>
      <w:r>
        <w:rPr>
          <w:i/>
          <w:sz w:val="20"/>
          <w:u w:val="single"/>
        </w:rPr>
        <w:t>Written Confirmation</w:t>
      </w:r>
      <w:r>
        <w:rPr>
          <w:sz w:val="20"/>
        </w:rPr>
        <w:t>" means, if specified to be applicable in the Confirmation or if demanded by Seller (which demand may be given orally, including by telephone, or in writing) a written confirmation delivered promptly by Buyer, confirming the substance of the Notice of Exercise.</w:t>
      </w:r>
    </w:p>
    <w:sectPr>
      <w:headerReference w:type="default" r:id="rId2"/>
      <w:headerReference w:type="first" r:id="rId3"/>
      <w:footerReference w:type="default" r:id="rId4"/>
      <w:footerReference w:type="first" r:id="rId5"/>
      <w:type w:val="nextPage"/>
      <w:pgSz w:w="12240" w:h="15840"/>
      <w:pgMar w:left="720" w:right="720" w:gutter="0" w:header="432" w:top="720" w:footer="576"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rPr>
    </w:pPr>
    <w:r>
      <w:rPr>
        <w:rFonts w:cs="Arial Narrow" w:ascii="Arial Narrow" w:hAnsi="Arial Narrow"/>
        <w:sz w:val="18"/>
      </w:rPr>
    </w:r>
  </w:p>
  <w:p>
    <w:pPr>
      <w:pStyle w:val="Footer"/>
      <w:tabs>
        <w:tab w:val="clear" w:pos="4320"/>
        <w:tab w:val="center" w:pos="5040" w:leader="none"/>
        <w:tab w:val="right" w:pos="8640" w:leader="none"/>
      </w:tabs>
      <w:rPr/>
    </w:pPr>
    <w:r>
      <w:rPr>
        <w:rFonts w:cs="Arial Narrow" w:ascii="Arial Narrow" w:hAnsi="Arial Narrow"/>
        <w:sz w:val="18"/>
      </w:rPr>
      <w:t>Annex</w:t>
      <w:tab/>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rPr>
    </w:pPr>
    <w:r>
      <w:rPr>
        <w:rFonts w:cs="Arial Narrow" w:ascii="Arial Narrow" w:hAnsi="Arial Narrow"/>
        <w:sz w:val="18"/>
      </w:rPr>
    </w:r>
  </w:p>
  <w:p>
    <w:pPr>
      <w:pStyle w:val="Footer"/>
      <w:tabs>
        <w:tab w:val="clear" w:pos="4320"/>
        <w:tab w:val="center" w:pos="5040" w:leader="none"/>
        <w:tab w:val="right" w:pos="8640" w:leader="none"/>
      </w:tabs>
      <w:rPr/>
    </w:pPr>
    <w:r>
      <w:rPr>
        <w:rFonts w:cs="Arial Narrow" w:ascii="Arial Narrow" w:hAnsi="Arial Narrow"/>
        <w:sz w:val="18"/>
      </w:rPr>
      <w:t xml:space="preserve">Annex A </w:t>
      <w:tab/>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tabs>
        <w:tab w:val="clear" w:pos="4320"/>
        <w:tab w:val="center" w:pos="5040" w:leader="none"/>
        <w:tab w:val="right" w:pos="8640" w:leader="none"/>
      </w:tabs>
      <w:rPr>
        <w:rStyle w:val="PageNumber"/>
        <w:rFonts w:ascii="Arial Narrow" w:hAnsi="Arial Narrow" w:cs="Arial Narrow"/>
        <w:sz w:val="18"/>
      </w:rPr>
    </w:pPr>
    <w:r>
      <w:rPr/>
    </w:r>
  </w:p>
  <w:p>
    <w:pPr>
      <w:pStyle w:val="Footer"/>
      <w:tabs>
        <w:tab w:val="clear" w:pos="4320"/>
        <w:tab w:val="center" w:pos="5040" w:leader="none"/>
        <w:tab w:val="right" w:pos="8640" w:leader="none"/>
      </w:tabs>
      <w:rPr>
        <w:rStyle w:val="PageNumber"/>
        <w:rFonts w:ascii="Arial Narrow" w:hAnsi="Arial Narrow" w:cs="Arial Narrow"/>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170" w:leader="none"/>
      </w:tabs>
      <w:rPr>
        <w:rFonts w:ascii="Arial Narrow" w:hAnsi="Arial Narrow" w:cs="Arial Narrow"/>
        <w:b/>
        <w:sz w:val="18"/>
      </w:rPr>
    </w:pPr>
    <w:r>
      <w:rPr>
        <w:rFonts w:cs="Arial Narrow" w:ascii="Arial Narrow" w:hAnsi="Arial Narrow"/>
        <w:b/>
        <w:sz w:val="18"/>
      </w:rPr>
      <w:tab/>
      <w:t xml:space="preserve">        </w:t>
      <w:tab/>
      <w:t xml:space="preserve">  Confidential Draft 9-17-01</w:t>
    </w:r>
  </w:p>
  <w:p>
    <w:pPr>
      <w:pStyle w:val="Header"/>
      <w:tabs>
        <w:tab w:val="clear" w:pos="8640"/>
        <w:tab w:val="center" w:pos="4320" w:leader="none"/>
        <w:tab w:val="right" w:pos="8730" w:leader="none"/>
      </w:tabs>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For Discussion Purposes Only</w:t>
    </w:r>
  </w:p>
  <w:p>
    <w:pPr>
      <w:pStyle w:val="Header"/>
      <w:tabs>
        <w:tab w:val="clear" w:pos="8640"/>
        <w:tab w:val="center" w:pos="4320" w:leader="none"/>
        <w:tab w:val="right" w:pos="8730" w:leader="none"/>
      </w:tabs>
      <w:rPr>
        <w:rFonts w:ascii="Arial Narrow" w:hAnsi="Arial Narrow" w:cs="Arial Narrow"/>
        <w:b/>
        <w:sz w:val="18"/>
      </w:rPr>
    </w:pPr>
    <w:r>
      <w:rPr>
        <w:rFonts w:cs="Arial Narrow" w:ascii="Arial Narrow" w:hAnsi="Arial Narrow"/>
        <w:b/>
        <w:sz w:val="18"/>
      </w:rPr>
      <w:tab/>
      <w:t xml:space="preserve">                                  ANNEX A</w:t>
    </w:r>
  </w:p>
  <w:p>
    <w:pPr>
      <w:pStyle w:val="Header"/>
      <w:tabs>
        <w:tab w:val="clear" w:pos="8640"/>
        <w:tab w:val="center" w:pos="4320" w:leader="none"/>
        <w:tab w:val="right" w:pos="8730" w:leader="none"/>
      </w:tabs>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t>OF CONFIRMATION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8"/>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spacing w:before="0" w:after="120"/>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ind w:hanging="0" w:start="720" w:end="0"/>
      <w:jc w:val="both"/>
    </w:pPr>
    <w:rPr>
      <w:sz w:val="22"/>
    </w:rPr>
  </w:style>
  <w:style w:type="paragraph" w:styleId="BodyTextIndent2">
    <w:name w:val="Body Text Indent 2"/>
    <w:basedOn w:val="Normal"/>
    <w:qFormat/>
    <w:pPr>
      <w:ind w:hanging="0" w:start="720" w:end="0"/>
    </w:pPr>
    <w:rPr>
      <w:sz w:val="22"/>
    </w:rPr>
  </w:style>
  <w:style w:type="paragraph" w:styleId="BodyText2">
    <w:name w:val="Body Text 2"/>
    <w:basedOn w:val="Normal"/>
    <w:qFormat/>
    <w:pPr>
      <w:jc w:val="both"/>
    </w:pPr>
    <w:rPr>
      <w:b/>
      <w:sz w:val="18"/>
    </w:rPr>
  </w:style>
  <w:style w:type="paragraph" w:styleId="BodyText3">
    <w:name w:val="Body Text 3"/>
    <w:basedOn w:val="Normal"/>
    <w:qFormat/>
    <w:pPr/>
    <w:rPr>
      <w:b/>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2001-09-15T23:54:00Z</dcterms:created>
  <dc:creator>kcordova</dc:creator>
  <dc:description/>
  <dc:language>en-CA</dc:language>
  <cp:lastModifiedBy>eessando</cp:lastModifiedBy>
  <cp:lastPrinted>2001-03-21T14:35:00Z</cp:lastPrinted>
  <dcterms:modified xsi:type="dcterms:W3CDTF">2001-09-16T00:53:00Z</dcterms:modified>
  <cp:revision>9</cp:revision>
  <dc:subject/>
  <dc:title> CONFIRMATION </dc:title>
</cp:coreProperties>
</file>