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Energy Services, Inc.</w:t>
            </w:r>
            <w:r>
              <w:rPr>
                <w:sz w:val="22"/>
                <w:b/>
              </w:rPr>
              <w:fldChar w:fldCharType="end"/>
            </w:r>
          </w:p>
          <w:p>
            <w:pPr>
              <w:pStyle w:val="Normal"/>
              <w:tabs>
                <w:tab w:val="clear" w:pos="720"/>
                <w:tab w:val="left" w:pos="2412" w:leader="none"/>
              </w:tabs>
              <w:ind w:start="1962" w:end="0"/>
              <w:rPr>
                <w:sz w:val="22"/>
              </w:rPr>
            </w:pPr>
            <w:r>
              <w:rPr>
                <w:sz w:val="22"/>
              </w:rPr>
              <w:t>Office of the General Counsel</w:t>
            </w:r>
          </w:p>
          <w:p>
            <w:pPr>
              <w:pStyle w:val="Normal"/>
              <w:tabs>
                <w:tab w:val="clear" w:pos="720"/>
                <w:tab w:val="left" w:pos="2412" w:leader="none"/>
              </w:tabs>
              <w:ind w:start="1962" w:end="0"/>
              <w:rPr>
                <w:sz w:val="22"/>
              </w:rPr>
            </w:pPr>
            <w:r>
              <w:rPr>
                <w:sz w:val="22"/>
              </w:rPr>
              <w:t>1400 Smith Street</w:t>
            </w:r>
          </w:p>
          <w:p>
            <w:pPr>
              <w:pStyle w:val="Normal"/>
              <w:tabs>
                <w:tab w:val="clear" w:pos="720"/>
                <w:tab w:val="left" w:pos="2412" w:leader="none"/>
              </w:tabs>
              <w:ind w:start="1962" w:end="0"/>
              <w:rPr>
                <w:sz w:val="22"/>
              </w:rPr>
            </w:pPr>
            <w:r>
              <w:rPr>
                <w:sz w:val="22"/>
              </w:rPr>
              <w:t>Houston, TX 77002</w:t>
            </w:r>
          </w:p>
          <w:p>
            <w:pPr>
              <w:pStyle w:val="Normal"/>
              <w:tabs>
                <w:tab w:val="clear" w:pos="720"/>
                <w:tab w:val="left" w:pos="2412" w:leader="none"/>
              </w:tabs>
              <w:ind w:start="1962" w:end="0"/>
              <w:rPr>
                <w:sz w:val="22"/>
              </w:rPr>
            </w:pPr>
            <w:r>
              <w:rPr>
                <w:sz w:val="22"/>
              </w:rPr>
              <w:t>Fax (713) 646-2379</w:t>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rPr>
          <w:color w:val="FF0000"/>
          <w:sz w:val="22"/>
        </w:rPr>
      </w:pPr>
      <w:r>
        <w:rPr>
          <w:color w:val="FF0000"/>
          <w:sz w:val="22"/>
        </w:rPr>
        <w:t>[DATE]</w:t>
      </w:r>
    </w:p>
    <w:p>
      <w:pPr>
        <w:pStyle w:val="Normal"/>
        <w:rPr>
          <w:color w:val="FF0000"/>
          <w:sz w:val="22"/>
        </w:rPr>
      </w:pPr>
      <w:r>
        <w:rPr>
          <w:color w:val="FF0000"/>
          <w:sz w:val="22"/>
        </w:rPr>
      </w:r>
    </w:p>
    <w:p>
      <w:pPr>
        <w:pStyle w:val="Normal"/>
        <w:rPr>
          <w:color w:val="FF0000"/>
          <w:sz w:val="22"/>
        </w:rPr>
      </w:pPr>
      <w:r>
        <w:rPr>
          <w:color w:val="FF0000"/>
          <w:sz w:val="22"/>
        </w:rPr>
        <w:t>[CP NAME]</w:t>
      </w:r>
    </w:p>
    <w:p>
      <w:pPr>
        <w:pStyle w:val="Normal"/>
        <w:rPr>
          <w:color w:val="FF0000"/>
          <w:sz w:val="22"/>
        </w:rPr>
      </w:pPr>
      <w:r>
        <w:rPr>
          <w:color w:val="FF0000"/>
          <w:sz w:val="22"/>
        </w:rPr>
        <w:t>[ADDRESS]</w:t>
      </w:r>
    </w:p>
    <w:p>
      <w:pPr>
        <w:pStyle w:val="Normal"/>
        <w:rPr>
          <w:color w:val="FF0000"/>
          <w:sz w:val="22"/>
        </w:rPr>
      </w:pPr>
      <w:r>
        <w:rPr>
          <w:color w:val="FF0000"/>
          <w:sz w:val="22"/>
        </w:rPr>
      </w:r>
    </w:p>
    <w:p>
      <w:pPr>
        <w:pStyle w:val="Normal"/>
        <w:rPr>
          <w:sz w:val="22"/>
        </w:rPr>
      </w:pPr>
      <w:r>
        <w:rPr>
          <w:sz w:val="22"/>
        </w:rPr>
        <w:t xml:space="preserve">Attention:  </w:t>
      </w:r>
      <w:r>
        <w:rPr>
          <w:color w:val="FF0000"/>
          <w:sz w:val="22"/>
        </w:rPr>
        <w:t>[             ]</w:t>
      </w:r>
    </w:p>
    <w:p>
      <w:pPr>
        <w:pStyle w:val="Normal"/>
        <w:rPr>
          <w:sz w:val="22"/>
        </w:rPr>
      </w:pPr>
      <w:r>
        <w:rPr>
          <w:sz w:val="22"/>
        </w:rPr>
      </w:r>
    </w:p>
    <w:p>
      <w:pPr>
        <w:pStyle w:val="Normal"/>
        <w:rPr>
          <w:sz w:val="22"/>
        </w:rPr>
      </w:pPr>
      <w:r>
        <w:rPr>
          <w:sz w:val="22"/>
        </w:rPr>
        <w:t xml:space="preserve">Fax No.: </w:t>
      </w:r>
      <w:r>
        <w:rPr>
          <w:color w:val="FF0000"/>
          <w:sz w:val="22"/>
        </w:rPr>
        <w:t>[             ]</w:t>
      </w:r>
    </w:p>
    <w:p>
      <w:pPr>
        <w:pStyle w:val="Normal"/>
        <w:rPr>
          <w:sz w:val="22"/>
        </w:rPr>
      </w:pPr>
      <w:r>
        <w:rPr>
          <w:sz w:val="22"/>
        </w:rPr>
        <w:t xml:space="preserve">Telephone No.: </w:t>
      </w:r>
      <w:r>
        <w:rPr>
          <w:color w:val="FF0000"/>
          <w:sz w:val="22"/>
        </w:rPr>
        <w:t>[             ]</w:t>
      </w:r>
    </w:p>
    <w:p>
      <w:pPr>
        <w:pStyle w:val="Normal"/>
        <w:rPr>
          <w:sz w:val="22"/>
        </w:rPr>
      </w:pPr>
      <w:r>
        <w:rPr>
          <w:sz w:val="22"/>
        </w:rPr>
      </w:r>
    </w:p>
    <w:p>
      <w:pPr>
        <w:pStyle w:val="Normal"/>
        <w:rPr>
          <w:color w:val="000000"/>
          <w:sz w:val="22"/>
        </w:rPr>
      </w:pPr>
      <w:r>
        <w:rPr>
          <w:color w:val="000000"/>
          <w:sz w:val="22"/>
        </w:rPr>
      </w:r>
    </w:p>
    <w:p>
      <w:pPr>
        <w:pStyle w:val="Normal"/>
        <w:jc w:val="both"/>
        <w:rPr>
          <w:b/>
        </w:rPr>
      </w:pPr>
      <w:r>
        <w:rPr>
          <w:b/>
          <w:color w:val="000000"/>
          <w:sz w:val="22"/>
        </w:rPr>
        <w:t>Re:</w:t>
        <w:tab/>
        <w:t xml:space="preserve">WEATHER TRANSACTION -- EESI Contract No. </w:t>
      </w:r>
      <w:r>
        <w:rPr>
          <w:b/>
          <w:color w:val="FF0000"/>
          <w:sz w:val="22"/>
        </w:rPr>
        <w:t>[             ]</w:t>
      </w:r>
    </w:p>
    <w:p>
      <w:pPr>
        <w:pStyle w:val="Normal"/>
        <w:jc w:val="both"/>
        <w:rPr>
          <w:b/>
        </w:rPr>
      </w:pPr>
      <w:r>
        <w:rPr>
          <w:b/>
        </w:rPr>
      </w:r>
    </w:p>
    <w:p>
      <w:pPr>
        <w:pStyle w:val="Normal"/>
        <w:jc w:val="both"/>
        <w:rPr>
          <w:sz w:val="22"/>
        </w:rPr>
      </w:pPr>
      <w:r>
        <w:rPr>
          <w:color w:val="000000"/>
          <w:sz w:val="22"/>
        </w:rPr>
        <w:t>Dear Sirs:</w:t>
      </w:r>
    </w:p>
    <w:p>
      <w:pPr>
        <w:pStyle w:val="Normal"/>
        <w:jc w:val="both"/>
        <w:rPr>
          <w:sz w:val="22"/>
        </w:rPr>
      </w:pPr>
      <w:r>
        <w:rPr>
          <w:sz w:val="22"/>
        </w:rPr>
      </w:r>
    </w:p>
    <w:p>
      <w:pPr>
        <w:pStyle w:val="Normal"/>
        <w:jc w:val="both"/>
        <w:rPr/>
      </w:pPr>
      <w:r>
        <w:rPr>
          <w:sz w:val="22"/>
        </w:rPr>
        <w:t>The purpose of this letter agreement (together with the General Terms and Conditions of Confirmation as set forth in Annex A and any other attachments hereto, collectively the "</w:t>
      </w:r>
      <w:r>
        <w:rPr>
          <w:sz w:val="22"/>
          <w:u w:val="single"/>
        </w:rPr>
        <w:t>Confirmation</w:t>
      </w:r>
      <w:r>
        <w:rPr>
          <w:sz w:val="22"/>
        </w:rPr>
        <w:t xml:space="preserve">") is to confirm the terms and conditions of the transaction entered into between </w:t>
      </w:r>
      <w:r>
        <w:rPr>
          <w:color w:val="FF0000"/>
          <w:sz w:val="22"/>
        </w:rPr>
        <w:t>[CP NAME]</w:t>
      </w:r>
      <w:r>
        <w:rPr>
          <w:sz w:val="22"/>
        </w:rPr>
        <w:t xml:space="preserve"> (“</w:t>
      </w:r>
      <w:r>
        <w:rPr>
          <w:sz w:val="22"/>
          <w:u w:val="single"/>
        </w:rPr>
        <w:t>Counterparty</w:t>
      </w:r>
      <w:r>
        <w:rPr>
          <w:sz w:val="22"/>
        </w:rPr>
        <w:t>”) and Enron Energy Services, Inc. (“</w:t>
      </w:r>
      <w:r>
        <w:rPr>
          <w:sz w:val="22"/>
          <w:u w:val="single"/>
        </w:rPr>
        <w:t>EESI</w:t>
      </w:r>
      <w:r>
        <w:rPr>
          <w:sz w:val="22"/>
        </w:rPr>
        <w:t>”) on the Trade Date specified below (the “</w:t>
      </w:r>
      <w:r>
        <w:rPr>
          <w:sz w:val="22"/>
          <w:u w:val="single"/>
        </w:rPr>
        <w:t>Transaction</w:t>
      </w:r>
      <w:r>
        <w:rPr>
          <w:sz w:val="22"/>
        </w:rPr>
        <w:t>”). Counterparty and EESI may be referred to herein individually as a "</w:t>
      </w:r>
      <w:r>
        <w:rPr>
          <w:sz w:val="22"/>
          <w:u w:val="single"/>
        </w:rPr>
        <w:t>Party</w:t>
      </w:r>
      <w:r>
        <w:rPr>
          <w:sz w:val="22"/>
        </w:rPr>
        <w:t>" and, collectively, as the "</w:t>
      </w:r>
      <w:r>
        <w:rPr>
          <w:sz w:val="22"/>
          <w:u w:val="single"/>
        </w:rPr>
        <w:t>Parties</w:t>
      </w:r>
      <w:r>
        <w:rPr>
          <w:sz w:val="22"/>
        </w:rPr>
        <w:t>". The terms of the particular Transaction to which this Confirmation relates are as follows:</w:t>
      </w:r>
    </w:p>
    <w:p>
      <w:pPr>
        <w:pStyle w:val="Normal"/>
        <w:rPr>
          <w:b/>
          <w:sz w:val="22"/>
        </w:rPr>
      </w:pPr>
      <w:r>
        <w:rPr>
          <w:b/>
          <w:sz w:val="22"/>
        </w:rPr>
      </w:r>
    </w:p>
    <w:p>
      <w:pPr>
        <w:pStyle w:val="Normal"/>
        <w:rPr>
          <w:sz w:val="22"/>
        </w:rPr>
      </w:pPr>
      <w:r>
        <w:rPr>
          <w:b/>
          <w:sz w:val="22"/>
        </w:rPr>
        <w:t>General Terms:</w:t>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168"/>
        <w:gridCol w:w="6390"/>
        <w:gridCol w:w="18"/>
      </w:tblGrid>
      <w:tr>
        <w:trPr/>
        <w:tc>
          <w:tcPr>
            <w:tcW w:w="3168" w:type="dxa"/>
            <w:tcBorders/>
          </w:tcPr>
          <w:p>
            <w:pPr>
              <w:pStyle w:val="Normal"/>
              <w:jc w:val="both"/>
              <w:rPr>
                <w:sz w:val="22"/>
              </w:rPr>
            </w:pPr>
            <w:r>
              <w:rPr>
                <w:sz w:val="22"/>
              </w:rPr>
              <w:t>Transaction Type:</w:t>
            </w:r>
          </w:p>
        </w:tc>
        <w:tc>
          <w:tcPr>
            <w:tcW w:w="6408" w:type="dxa"/>
            <w:tcBorders/>
          </w:tcPr>
          <w:p>
            <w:pPr>
              <w:pStyle w:val="Normal"/>
              <w:jc w:val="both"/>
              <w:rPr>
                <w:sz w:val="22"/>
              </w:rPr>
            </w:pPr>
            <w:r>
              <w:rPr>
                <w:sz w:val="22"/>
              </w:rPr>
              <w:t xml:space="preserve">Cooling Degree Day (“CDD”) Floor </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Notional Amount:</w:t>
            </w:r>
          </w:p>
        </w:tc>
        <w:tc>
          <w:tcPr>
            <w:tcW w:w="6408" w:type="dxa"/>
            <w:tcBorders/>
          </w:tcPr>
          <w:p>
            <w:pPr>
              <w:pStyle w:val="Normal"/>
              <w:jc w:val="both"/>
              <w:rPr>
                <w:sz w:val="22"/>
              </w:rPr>
            </w:pPr>
            <w:r>
              <w:rPr>
                <w:sz w:val="22"/>
              </w:rPr>
              <w:t xml:space="preserve">$_______ per CDD </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Trade Date:</w:t>
            </w:r>
          </w:p>
        </w:tc>
        <w:tc>
          <w:tcPr>
            <w:tcW w:w="6408" w:type="dxa"/>
            <w:tcBorders/>
          </w:tcPr>
          <w:p>
            <w:pPr>
              <w:pStyle w:val="Normal"/>
              <w:jc w:val="both"/>
              <w:rPr>
                <w:sz w:val="22"/>
              </w:rPr>
            </w:pPr>
            <w:r>
              <w:rPr>
                <w:sz w:val="22"/>
              </w:rPr>
              <w:t>[__________]</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Effective Date:</w:t>
            </w:r>
          </w:p>
        </w:tc>
        <w:tc>
          <w:tcPr>
            <w:tcW w:w="6408" w:type="dxa"/>
            <w:tcBorders/>
          </w:tcPr>
          <w:p>
            <w:pPr>
              <w:pStyle w:val="Normal"/>
              <w:jc w:val="both"/>
              <w:rPr>
                <w:sz w:val="22"/>
              </w:rPr>
            </w:pPr>
            <w:r>
              <w:rPr>
                <w:sz w:val="22"/>
              </w:rPr>
              <w:t>[April 1, 2002]</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Termination Date:</w:t>
            </w:r>
          </w:p>
        </w:tc>
        <w:tc>
          <w:tcPr>
            <w:tcW w:w="6408" w:type="dxa"/>
            <w:tcBorders/>
          </w:tcPr>
          <w:p>
            <w:pPr>
              <w:pStyle w:val="Normal"/>
              <w:jc w:val="both"/>
              <w:rPr>
                <w:sz w:val="22"/>
              </w:rPr>
            </w:pPr>
            <w:r>
              <w:rPr>
                <w:sz w:val="22"/>
              </w:rPr>
              <w:t>[October 31, 2007/2012]</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Term:</w:t>
            </w:r>
          </w:p>
        </w:tc>
        <w:tc>
          <w:tcPr>
            <w:tcW w:w="6408" w:type="dxa"/>
            <w:tcBorders/>
          </w:tcPr>
          <w:p>
            <w:pPr>
              <w:pStyle w:val="Normal"/>
              <w:jc w:val="both"/>
              <w:rPr>
                <w:sz w:val="22"/>
              </w:rPr>
            </w:pPr>
            <w:r>
              <w:rPr>
                <w:sz w:val="22"/>
              </w:rPr>
              <w:t>The period from and including the Effective Date to and including the Termination Date.</w:t>
            </w:r>
          </w:p>
        </w:tc>
      </w:tr>
      <w:tr>
        <w:trPr/>
        <w:tc>
          <w:tcPr>
            <w:tcW w:w="3168" w:type="dxa"/>
            <w:tcBorders/>
          </w:tcPr>
          <w:p>
            <w:pPr>
              <w:pStyle w:val="Normal"/>
              <w:snapToGrid w:val="false"/>
              <w:jc w:val="both"/>
              <w:rPr>
                <w:sz w:val="22"/>
              </w:rPr>
            </w:pPr>
            <w:r>
              <w:rPr>
                <w:sz w:val="22"/>
              </w:rPr>
            </w:r>
          </w:p>
          <w:p>
            <w:pPr>
              <w:pStyle w:val="Normal"/>
              <w:jc w:val="both"/>
              <w:rPr>
                <w:sz w:val="22"/>
              </w:rPr>
            </w:pPr>
            <w:r>
              <w:rPr>
                <w:sz w:val="22"/>
              </w:rPr>
              <w:t>Premium Payment Details:</w:t>
            </w:r>
          </w:p>
          <w:p>
            <w:pPr>
              <w:pStyle w:val="Normal"/>
              <w:jc w:val="both"/>
              <w:rPr>
                <w:sz w:val="22"/>
              </w:rPr>
            </w:pPr>
            <w:r>
              <w:rPr>
                <w:sz w:val="22"/>
              </w:rPr>
            </w:r>
          </w:p>
          <w:p>
            <w:pPr>
              <w:pStyle w:val="Normal"/>
              <w:jc w:val="both"/>
              <w:rPr>
                <w:sz w:val="22"/>
              </w:rPr>
            </w:pPr>
            <w:r>
              <w:rPr>
                <w:sz w:val="22"/>
              </w:rPr>
            </w:r>
          </w:p>
        </w:tc>
        <w:tc>
          <w:tcPr>
            <w:tcW w:w="6408" w:type="dxa"/>
            <w:tcBorders/>
          </w:tcPr>
          <w:p>
            <w:pPr>
              <w:pStyle w:val="Normal"/>
              <w:snapToGrid w:val="false"/>
              <w:jc w:val="both"/>
              <w:rPr>
                <w:sz w:val="22"/>
              </w:rPr>
            </w:pPr>
            <w:r>
              <w:rPr>
                <w:sz w:val="22"/>
              </w:rPr>
            </w:r>
          </w:p>
          <w:p>
            <w:pPr>
              <w:pStyle w:val="Normal"/>
              <w:spacing w:before="0" w:after="120"/>
              <w:jc w:val="both"/>
              <w:rPr/>
            </w:pPr>
            <w:r>
              <w:rPr>
                <w:sz w:val="22"/>
              </w:rPr>
              <w:t>Counterparty shall pay EESI [$             ] (the "</w:t>
            </w:r>
            <w:r>
              <w:rPr>
                <w:sz w:val="22"/>
                <w:u w:val="single"/>
              </w:rPr>
              <w:t>Premium</w:t>
            </w:r>
            <w:r>
              <w:rPr>
                <w:sz w:val="22"/>
              </w:rPr>
              <w:t>") two Business Days after this Confirmation has been duly executed by both Parties.</w:t>
            </w:r>
          </w:p>
        </w:tc>
      </w:tr>
      <w:tr>
        <w:trPr/>
        <w:tc>
          <w:tcPr>
            <w:tcW w:w="3168" w:type="dxa"/>
            <w:tcBorders/>
          </w:tcPr>
          <w:p>
            <w:pPr>
              <w:pStyle w:val="Normal"/>
              <w:jc w:val="both"/>
              <w:rPr>
                <w:sz w:val="22"/>
              </w:rPr>
            </w:pPr>
            <w:r>
              <w:rPr>
                <w:sz w:val="22"/>
              </w:rPr>
              <w:t>Exercise:</w:t>
            </w:r>
          </w:p>
        </w:tc>
        <w:tc>
          <w:tcPr>
            <w:tcW w:w="6408" w:type="dxa"/>
            <w:tcBorders/>
          </w:tcPr>
          <w:p>
            <w:pPr>
              <w:pStyle w:val="Normal"/>
              <w:jc w:val="both"/>
              <w:rPr>
                <w:sz w:val="22"/>
              </w:rPr>
            </w:pPr>
            <w:r>
              <w:rPr>
                <w:sz w:val="22"/>
              </w:rPr>
              <w:t>Automatic Exercise is applicable.</w:t>
            </w:r>
          </w:p>
          <w:p>
            <w:pPr>
              <w:pStyle w:val="Normal"/>
              <w:jc w:val="both"/>
              <w:rPr>
                <w:sz w:val="22"/>
              </w:rPr>
            </w:pPr>
            <w:r>
              <w:rPr>
                <w:sz w:val="22"/>
              </w:rPr>
            </w:r>
          </w:p>
        </w:tc>
      </w:tr>
      <w:tr>
        <w:trPr/>
        <w:tc>
          <w:tcPr>
            <w:tcW w:w="3168" w:type="dxa"/>
            <w:tcBorders/>
          </w:tcPr>
          <w:p>
            <w:pPr>
              <w:pStyle w:val="Normal"/>
              <w:jc w:val="both"/>
              <w:rPr>
                <w:sz w:val="22"/>
              </w:rPr>
            </w:pPr>
            <w:r>
              <w:rPr>
                <w:sz w:val="22"/>
              </w:rPr>
              <w:t>Determination Period:</w:t>
            </w:r>
          </w:p>
        </w:tc>
        <w:tc>
          <w:tcPr>
            <w:tcW w:w="6408" w:type="dxa"/>
            <w:tcBorders/>
          </w:tcPr>
          <w:p>
            <w:pPr>
              <w:pStyle w:val="Normal"/>
              <w:jc w:val="both"/>
              <w:rPr>
                <w:sz w:val="22"/>
              </w:rPr>
            </w:pPr>
            <w:r>
              <w:rPr>
                <w:sz w:val="22"/>
              </w:rPr>
              <w:t>Each seven-month period from April 1 through October 31 during each year of the Term of this Transaction, with the first Determination Period beginning on April 1, 2002.</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Payment Date(s):</w:t>
            </w:r>
          </w:p>
        </w:tc>
        <w:tc>
          <w:tcPr>
            <w:tcW w:w="6408" w:type="dxa"/>
            <w:tcBorders/>
          </w:tcPr>
          <w:p>
            <w:pPr>
              <w:pStyle w:val="Normal"/>
              <w:jc w:val="both"/>
              <w:rPr/>
            </w:pPr>
            <w:r>
              <w:rPr>
                <w:sz w:val="22"/>
              </w:rPr>
              <w:t>The fifth Business Day after the Floating Amount for the Determination Period is determinable,</w:t>
            </w:r>
            <w:r>
              <w:rPr>
                <w:b/>
                <w:sz w:val="22"/>
              </w:rPr>
              <w:t xml:space="preserve"> provided, however,</w:t>
            </w:r>
            <w:r>
              <w:rPr>
                <w:sz w:val="22"/>
              </w:rPr>
              <w:t xml:space="preserve"> that a one time adjustment in the amount paid will be made by the appropriate party, if applicable, if the National Climatic Data Center (“NCDC”) makes any correction or adjustment to the reported daily maximum and minimum temperatures within 95 days of the end of the Determination Period for any day within the Determination Period.</w:t>
            </w:r>
          </w:p>
          <w:p>
            <w:pPr>
              <w:pStyle w:val="Normal"/>
              <w:jc w:val="both"/>
              <w:rPr>
                <w:sz w:val="22"/>
              </w:rPr>
            </w:pPr>
            <w:r>
              <w:rPr>
                <w:sz w:val="22"/>
              </w:rPr>
            </w:r>
          </w:p>
          <w:p>
            <w:pPr>
              <w:pStyle w:val="Normal"/>
              <w:jc w:val="both"/>
              <w:rPr>
                <w:sz w:val="22"/>
              </w:rPr>
            </w:pPr>
            <w:r>
              <w:rPr>
                <w:color w:val="000000"/>
                <w:sz w:val="22"/>
              </w:rPr>
              <w:t>“</w:t>
            </w:r>
            <w:r>
              <w:rPr>
                <w:color w:val="000000"/>
                <w:sz w:val="22"/>
              </w:rPr>
              <w:t>NCDC” means the National Climatic Data Center, a unit of the National Oceanic and Atmospheric Administration Center, or its successor organization, which reports temperature information by the NWS.</w:t>
            </w:r>
          </w:p>
          <w:p>
            <w:pPr>
              <w:pStyle w:val="Normal"/>
              <w:jc w:val="both"/>
              <w:rPr>
                <w:sz w:val="22"/>
              </w:rPr>
            </w:pPr>
            <w:r>
              <w:rPr>
                <w:sz w:val="22"/>
              </w:rPr>
            </w:r>
          </w:p>
        </w:tc>
      </w:tr>
      <w:tr>
        <w:trPr/>
        <w:tc>
          <w:tcPr>
            <w:tcW w:w="3168" w:type="dxa"/>
            <w:tcBorders/>
          </w:tcPr>
          <w:p>
            <w:pPr>
              <w:pStyle w:val="Normal"/>
              <w:jc w:val="both"/>
              <w:rPr>
                <w:sz w:val="22"/>
              </w:rPr>
            </w:pPr>
            <w:r>
              <w:rPr>
                <w:sz w:val="22"/>
              </w:rPr>
              <w:t>Fixed Amount Payer:</w:t>
            </w:r>
          </w:p>
          <w:p>
            <w:pPr>
              <w:pStyle w:val="Normal"/>
              <w:jc w:val="both"/>
              <w:rPr>
                <w:sz w:val="22"/>
              </w:rPr>
            </w:pPr>
            <w:r>
              <w:rPr>
                <w:sz w:val="22"/>
              </w:rPr>
              <w:t>(Buyer of the Option)</w:t>
            </w:r>
          </w:p>
        </w:tc>
        <w:tc>
          <w:tcPr>
            <w:tcW w:w="6408" w:type="dxa"/>
            <w:tcBorders/>
          </w:tcPr>
          <w:p>
            <w:pPr>
              <w:pStyle w:val="Normal"/>
              <w:jc w:val="both"/>
              <w:rPr>
                <w:sz w:val="22"/>
              </w:rPr>
            </w:pPr>
            <w:r>
              <w:rPr>
                <w:sz w:val="22"/>
              </w:rPr>
              <w:t>Counterparty</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Floating Amount Payer:</w:t>
            </w:r>
          </w:p>
          <w:p>
            <w:pPr>
              <w:pStyle w:val="Normal"/>
              <w:jc w:val="both"/>
              <w:rPr>
                <w:sz w:val="22"/>
              </w:rPr>
            </w:pPr>
            <w:r>
              <w:rPr>
                <w:sz w:val="22"/>
              </w:rPr>
              <w:t>(Seller of the Option)</w:t>
            </w:r>
          </w:p>
        </w:tc>
        <w:tc>
          <w:tcPr>
            <w:tcW w:w="6408" w:type="dxa"/>
            <w:tcBorders/>
          </w:tcPr>
          <w:p>
            <w:pPr>
              <w:pStyle w:val="Normal"/>
              <w:jc w:val="both"/>
              <w:rPr>
                <w:sz w:val="22"/>
              </w:rPr>
            </w:pPr>
            <w:r>
              <w:rPr>
                <w:sz w:val="22"/>
              </w:rPr>
              <w:t>EESI</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Strike Amount:</w:t>
            </w:r>
          </w:p>
        </w:tc>
        <w:tc>
          <w:tcPr>
            <w:tcW w:w="6408" w:type="dxa"/>
            <w:tcBorders/>
          </w:tcPr>
          <w:p>
            <w:pPr>
              <w:pStyle w:val="Normal"/>
              <w:jc w:val="both"/>
              <w:rPr>
                <w:sz w:val="22"/>
              </w:rPr>
            </w:pPr>
            <w:r>
              <w:rPr>
                <w:sz w:val="22"/>
              </w:rPr>
              <w:t>____ CDD’s</w:t>
            </w:r>
            <w:r>
              <w:rPr>
                <w:color w:val="000000"/>
                <w:sz w:val="22"/>
              </w:rPr>
              <w:t>.</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Floating Amount:</w:t>
            </w:r>
          </w:p>
        </w:tc>
        <w:tc>
          <w:tcPr>
            <w:tcW w:w="6408" w:type="dxa"/>
            <w:tcBorders/>
          </w:tcPr>
          <w:p>
            <w:pPr>
              <w:pStyle w:val="Normal"/>
              <w:jc w:val="both"/>
              <w:rPr/>
            </w:pPr>
            <w:r>
              <w:rPr>
                <w:color w:val="800080"/>
                <w:sz w:val="22"/>
              </w:rPr>
              <w:t>The cumulative sum of the</w:t>
            </w:r>
            <w:r>
              <w:rPr>
                <w:sz w:val="22"/>
              </w:rPr>
              <w:t xml:space="preserve"> CDD’s per day during the applicable Determination Period at each of the Index Stations referenced below, multiplied by its relative weighting:</w:t>
            </w:r>
          </w:p>
          <w:p>
            <w:pPr>
              <w:pStyle w:val="Normal"/>
              <w:jc w:val="both"/>
              <w:rPr>
                <w:sz w:val="22"/>
              </w:rPr>
            </w:pPr>
            <w:r>
              <w:rPr>
                <w:sz w:val="22"/>
              </w:rPr>
            </w:r>
          </w:p>
          <w:p>
            <w:pPr>
              <w:pStyle w:val="Normal"/>
              <w:jc w:val="both"/>
              <w:rPr>
                <w:sz w:val="22"/>
              </w:rPr>
            </w:pPr>
            <w:r>
              <w:rPr>
                <w:b/>
                <w:sz w:val="22"/>
              </w:rPr>
              <w:t xml:space="preserve">           </w:t>
            </w:r>
            <w:r>
              <w:rPr>
                <w:b/>
                <w:sz w:val="22"/>
                <w:u w:val="single"/>
              </w:rPr>
              <w:t xml:space="preserve"> </w:t>
            </w:r>
            <w:r>
              <w:rPr>
                <w:b/>
                <w:sz w:val="22"/>
                <w:u w:val="single"/>
              </w:rPr>
              <w:t>Index Station                                Weighting (%)</w:t>
            </w:r>
          </w:p>
          <w:p>
            <w:pPr>
              <w:pStyle w:val="Normal"/>
              <w:jc w:val="both"/>
              <w:rPr>
                <w:sz w:val="22"/>
              </w:rPr>
            </w:pPr>
            <w:r>
              <w:rPr>
                <w:sz w:val="22"/>
              </w:rPr>
            </w:r>
          </w:p>
          <w:p>
            <w:pPr>
              <w:pStyle w:val="Normal"/>
              <w:jc w:val="both"/>
              <w:rPr>
                <w:sz w:val="22"/>
              </w:rPr>
            </w:pPr>
            <w:r>
              <w:rPr>
                <w:sz w:val="22"/>
              </w:rPr>
              <w:t xml:space="preserve">           </w:t>
            </w:r>
            <w:r>
              <w:rPr>
                <w:sz w:val="22"/>
              </w:rPr>
              <w:t>Index Station #1                                     19%</w:t>
            </w:r>
          </w:p>
          <w:p>
            <w:pPr>
              <w:pStyle w:val="Normal"/>
              <w:jc w:val="both"/>
              <w:rPr>
                <w:sz w:val="22"/>
              </w:rPr>
            </w:pPr>
            <w:r>
              <w:rPr>
                <w:sz w:val="22"/>
              </w:rPr>
              <w:t xml:space="preserve">           </w:t>
            </w:r>
            <w:r>
              <w:rPr>
                <w:sz w:val="22"/>
              </w:rPr>
              <w:t>Index Station #2                                     52%</w:t>
            </w:r>
          </w:p>
          <w:p>
            <w:pPr>
              <w:pStyle w:val="Normal"/>
              <w:jc w:val="both"/>
              <w:rPr>
                <w:sz w:val="22"/>
              </w:rPr>
            </w:pPr>
            <w:r>
              <w:rPr>
                <w:sz w:val="22"/>
              </w:rPr>
              <w:t xml:space="preserve">           </w:t>
            </w:r>
            <w:r>
              <w:rPr>
                <w:sz w:val="22"/>
              </w:rPr>
              <w:t>Index Station #3                                     14%</w:t>
            </w:r>
          </w:p>
          <w:p>
            <w:pPr>
              <w:pStyle w:val="Normal"/>
              <w:jc w:val="both"/>
              <w:rPr>
                <w:sz w:val="22"/>
              </w:rPr>
            </w:pPr>
            <w:r>
              <w:rPr>
                <w:sz w:val="22"/>
              </w:rPr>
              <w:t xml:space="preserve">           </w:t>
            </w:r>
            <w:r>
              <w:rPr>
                <w:sz w:val="22"/>
              </w:rPr>
              <w:t>Index Station #4                                     15%</w:t>
            </w:r>
          </w:p>
          <w:p>
            <w:pPr>
              <w:pStyle w:val="Normal"/>
              <w:jc w:val="both"/>
              <w:rPr>
                <w:sz w:val="22"/>
              </w:rPr>
            </w:pPr>
            <w:r>
              <w:rPr>
                <w:sz w:val="22"/>
              </w:rPr>
            </w:r>
          </w:p>
          <w:p>
            <w:pPr>
              <w:pStyle w:val="BodyText"/>
              <w:rPr>
                <w:sz w:val="22"/>
              </w:rPr>
            </w:pPr>
            <w:r>
              <w:rPr>
                <w:sz w:val="22"/>
              </w:rPr>
              <w:t>CDD for each day is equal to the greater of (i) the non-rounded average of the daily maximum and daily minimum temperatures in degrees Fahrenheit from and including 12:01 AM on that day to and including 12:00 AM on the next day local time as measured by the National Weather Service (“NWS”), and reported by the NCDC, for the Index Station minus 65 or (ii) zero.  The daily maximum and minimum temperatures measured by the NWS and reported by the NCDC shall be rounded to whole numbers prior to the calculation of CDDs as follows:  if the first number after the decimal point is five (5) or greater then the whole number shall be increased by one (1), and if the first number after the decimal point is less than five (5) then the whole number shall remain unchanged (the “Rounding Convention”).</w:t>
            </w:r>
          </w:p>
          <w:p>
            <w:pPr>
              <w:pStyle w:val="Normal"/>
              <w:jc w:val="both"/>
              <w:rPr>
                <w:sz w:val="22"/>
              </w:rPr>
            </w:pPr>
            <w:r>
              <w:rPr>
                <w:sz w:val="22"/>
              </w:rPr>
            </w:r>
          </w:p>
          <w:p>
            <w:pPr>
              <w:pStyle w:val="Normal"/>
              <w:jc w:val="both"/>
              <w:rPr>
                <w:sz w:val="22"/>
              </w:rPr>
            </w:pPr>
            <w:r>
              <w:rPr>
                <w:sz w:val="22"/>
              </w:rPr>
              <w:t>“</w:t>
            </w:r>
            <w:r>
              <w:rPr>
                <w:sz w:val="22"/>
              </w:rPr>
              <w:t>NWS” means the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color w:val="0000FF"/>
                <w:sz w:val="22"/>
              </w:rPr>
            </w:pPr>
            <w:r>
              <w:rPr>
                <w:color w:val="0000FF"/>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Index Station:</w:t>
            </w:r>
          </w:p>
        </w:tc>
        <w:tc>
          <w:tcPr>
            <w:tcW w:w="6408" w:type="dxa"/>
            <w:tcBorders/>
          </w:tcPr>
          <w:p>
            <w:pPr>
              <w:pStyle w:val="Normal"/>
              <w:jc w:val="both"/>
              <w:rPr>
                <w:sz w:val="22"/>
              </w:rPr>
            </w:pPr>
            <w:r>
              <w:rPr>
                <w:sz w:val="22"/>
              </w:rPr>
              <w:t>New York New York, NYC La Guardia Int’l Airport, WBAN# 14732 (INDEX STATION #1)</w:t>
            </w:r>
          </w:p>
          <w:p>
            <w:pPr>
              <w:pStyle w:val="Normal"/>
              <w:jc w:val="both"/>
              <w:rPr>
                <w:sz w:val="22"/>
              </w:rPr>
            </w:pPr>
            <w:r>
              <w:rPr>
                <w:sz w:val="22"/>
              </w:rPr>
            </w:r>
          </w:p>
          <w:p>
            <w:pPr>
              <w:pStyle w:val="Normal"/>
              <w:jc w:val="both"/>
              <w:rPr>
                <w:sz w:val="22"/>
              </w:rPr>
            </w:pPr>
            <w:r>
              <w:rPr>
                <w:sz w:val="22"/>
              </w:rPr>
              <w:t>Philadelphia Pennsylvania, Philadelphia Int’l Airport, WBAN# 13739 (INDEX STATION #2)</w:t>
            </w:r>
          </w:p>
          <w:p>
            <w:pPr>
              <w:pStyle w:val="Normal"/>
              <w:jc w:val="both"/>
              <w:rPr>
                <w:sz w:val="22"/>
              </w:rPr>
            </w:pPr>
            <w:r>
              <w:rPr>
                <w:sz w:val="22"/>
              </w:rPr>
            </w:r>
          </w:p>
          <w:p>
            <w:pPr>
              <w:pStyle w:val="Normal"/>
              <w:jc w:val="both"/>
              <w:rPr>
                <w:sz w:val="22"/>
              </w:rPr>
            </w:pPr>
            <w:r>
              <w:rPr>
                <w:sz w:val="22"/>
              </w:rPr>
              <w:t>Boston Massachusetts, Boston Logan Int’l Airport, WBAN# 14739 (INDEX STATION #3)</w:t>
            </w:r>
          </w:p>
          <w:p>
            <w:pPr>
              <w:pStyle w:val="Normal"/>
              <w:jc w:val="both"/>
              <w:rPr>
                <w:sz w:val="22"/>
              </w:rPr>
            </w:pPr>
            <w:r>
              <w:rPr>
                <w:sz w:val="22"/>
              </w:rPr>
              <w:t xml:space="preserve"> </w:t>
            </w:r>
          </w:p>
          <w:p>
            <w:pPr>
              <w:pStyle w:val="Normal"/>
              <w:jc w:val="both"/>
              <w:rPr>
                <w:sz w:val="22"/>
              </w:rPr>
            </w:pPr>
            <w:r>
              <w:rPr>
                <w:sz w:val="22"/>
              </w:rPr>
              <w:t>Washington DC, Washington DC National (Reagan) Airport, WBAN# 13743 (INDEX STATION #4)</w:t>
            </w:r>
          </w:p>
        </w:tc>
      </w:tr>
      <w:tr>
        <w:trPr/>
        <w:tc>
          <w:tcPr>
            <w:tcW w:w="3168" w:type="dxa"/>
            <w:tcBorders/>
          </w:tcPr>
          <w:p>
            <w:pPr>
              <w:pStyle w:val="Normal"/>
              <w:snapToGrid w:val="false"/>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Fallback Station:</w:t>
            </w:r>
          </w:p>
        </w:tc>
        <w:tc>
          <w:tcPr>
            <w:tcW w:w="6408" w:type="dxa"/>
            <w:tcBorders/>
          </w:tcPr>
          <w:p>
            <w:pPr>
              <w:pStyle w:val="Normal"/>
              <w:jc w:val="both"/>
              <w:rPr>
                <w:sz w:val="22"/>
              </w:rPr>
            </w:pPr>
            <w:r>
              <w:rPr>
                <w:sz w:val="22"/>
              </w:rPr>
              <w:t>New York New York, NY Central Park Obs Belv, WBAN# 94728 (FOR INDEX STATION #1)</w:t>
            </w:r>
          </w:p>
          <w:p>
            <w:pPr>
              <w:pStyle w:val="Normal"/>
              <w:jc w:val="both"/>
              <w:rPr>
                <w:sz w:val="22"/>
              </w:rPr>
            </w:pPr>
            <w:r>
              <w:rPr>
                <w:sz w:val="22"/>
              </w:rPr>
            </w:r>
          </w:p>
          <w:p>
            <w:pPr>
              <w:pStyle w:val="Normal"/>
              <w:jc w:val="both"/>
              <w:rPr>
                <w:sz w:val="22"/>
              </w:rPr>
            </w:pPr>
            <w:r>
              <w:rPr>
                <w:sz w:val="22"/>
              </w:rPr>
              <w:t>Allentown Pennsylvania, Allentown ABE International Airport, WBAN# 14737 (FOR INDEX STATION #2)</w:t>
            </w:r>
          </w:p>
          <w:p>
            <w:pPr>
              <w:pStyle w:val="Normal"/>
              <w:jc w:val="both"/>
              <w:rPr>
                <w:sz w:val="22"/>
              </w:rPr>
            </w:pPr>
            <w:r>
              <w:rPr>
                <w:sz w:val="22"/>
              </w:rPr>
            </w:r>
          </w:p>
          <w:p>
            <w:pPr>
              <w:pStyle w:val="Normal"/>
              <w:jc w:val="both"/>
              <w:rPr>
                <w:sz w:val="22"/>
              </w:rPr>
            </w:pPr>
            <w:r>
              <w:rPr>
                <w:sz w:val="22"/>
              </w:rPr>
              <w:t>Providence RI, Providence T F Green State Airport, WBAN# 14765 (FOR INDEX STATION #3)</w:t>
            </w:r>
          </w:p>
          <w:p>
            <w:pPr>
              <w:pStyle w:val="Normal"/>
              <w:jc w:val="both"/>
              <w:rPr>
                <w:sz w:val="22"/>
              </w:rPr>
            </w:pPr>
            <w:r>
              <w:rPr>
                <w:sz w:val="22"/>
              </w:rPr>
              <w:t xml:space="preserve"> </w:t>
            </w:r>
          </w:p>
          <w:p>
            <w:pPr>
              <w:pStyle w:val="Normal"/>
              <w:ind w:start="-18" w:end="0"/>
              <w:jc w:val="both"/>
              <w:rPr>
                <w:sz w:val="22"/>
              </w:rPr>
            </w:pPr>
            <w:r>
              <w:rPr>
                <w:sz w:val="22"/>
              </w:rPr>
              <w:t>Washington DC, Washington DC Dulles Int’l Airport, WBAN# 93738 (FOR INDEX STATION #4)</w:t>
            </w:r>
          </w:p>
          <w:p>
            <w:pPr>
              <w:pStyle w:val="Normal"/>
              <w:ind w:start="-18" w:end="0"/>
              <w:jc w:val="both"/>
              <w:rPr>
                <w:sz w:val="22"/>
              </w:rPr>
            </w:pPr>
            <w:r>
              <w:rPr>
                <w:sz w:val="22"/>
              </w:rPr>
            </w:r>
          </w:p>
        </w:tc>
      </w:tr>
      <w:tr>
        <w:trPr/>
        <w:tc>
          <w:tcPr>
            <w:tcW w:w="3168" w:type="dxa"/>
            <w:tcBorders/>
          </w:tcPr>
          <w:p>
            <w:pPr>
              <w:pStyle w:val="Normal"/>
              <w:jc w:val="both"/>
              <w:rPr>
                <w:sz w:val="22"/>
              </w:rPr>
            </w:pPr>
            <w:r>
              <w:rPr>
                <w:sz w:val="22"/>
              </w:rPr>
              <w:t>Second Fallback Station:</w:t>
            </w:r>
          </w:p>
        </w:tc>
        <w:tc>
          <w:tcPr>
            <w:tcW w:w="6408" w:type="dxa"/>
            <w:tcBorders/>
          </w:tcPr>
          <w:p>
            <w:pPr>
              <w:pStyle w:val="Normal"/>
              <w:tabs>
                <w:tab w:val="clear" w:pos="720"/>
                <w:tab w:val="left" w:pos="72" w:leader="none"/>
              </w:tabs>
              <w:ind w:hanging="18" w:start="72" w:end="0"/>
              <w:jc w:val="both"/>
              <w:rPr/>
            </w:pPr>
            <w:r>
              <w:rPr>
                <w:sz w:val="22"/>
              </w:rPr>
              <w:t>In the event the Fallback Station cannot be utilized to produce the necessary Adjustment, the Adjustment shall be calculated from a mutually agreeable location that publishes official data for both the Determination Period and the relevant adjustment period  (which numbers as reported by the NCDC shall not be rounded by the parties). This Station shall be identified explicitly by a WBAN number (or other identifying reference) and shall be used as the secondary method for making the Adjustment calculation(s).</w:t>
            </w:r>
          </w:p>
          <w:p>
            <w:pPr>
              <w:pStyle w:val="Normal"/>
              <w:tabs>
                <w:tab w:val="clear" w:pos="720"/>
                <w:tab w:val="left" w:pos="72" w:leader="none"/>
              </w:tabs>
              <w:ind w:hanging="18" w:start="72" w:end="0"/>
              <w:jc w:val="both"/>
              <w:rPr>
                <w:sz w:val="22"/>
              </w:rPr>
            </w:pPr>
            <w:r>
              <w:rPr>
                <w:sz w:val="22"/>
              </w:rPr>
            </w:r>
          </w:p>
        </w:tc>
      </w:tr>
      <w:tr>
        <w:trPr/>
        <w:tc>
          <w:tcPr>
            <w:tcW w:w="3168" w:type="dxa"/>
            <w:tcBorders/>
          </w:tcPr>
          <w:p>
            <w:pPr>
              <w:pStyle w:val="Normal"/>
              <w:tabs>
                <w:tab w:val="clear" w:pos="720"/>
                <w:tab w:val="left" w:pos="1350" w:leader="none"/>
                <w:tab w:val="left" w:pos="1440" w:leader="none"/>
              </w:tabs>
              <w:ind w:end="792"/>
              <w:rPr>
                <w:sz w:val="22"/>
              </w:rPr>
            </w:pPr>
            <w:r>
              <w:rPr>
                <w:sz w:val="22"/>
              </w:rPr>
              <w:t>Fallback Methodology  (Determination of Missing Data):</w:t>
            </w:r>
          </w:p>
        </w:tc>
        <w:tc>
          <w:tcPr>
            <w:tcW w:w="6408" w:type="dxa"/>
            <w:tcBorders/>
          </w:tcPr>
          <w:p>
            <w:pPr>
              <w:pStyle w:val="Normal"/>
              <w:jc w:val="both"/>
              <w:rPr/>
            </w:pPr>
            <w:r>
              <w:rPr>
                <w:sz w:val="22"/>
              </w:rPr>
              <w:t>The Fallback Methodology is to be employed if on any day during the Determination Period official data for any</w:t>
            </w:r>
            <w:r>
              <w:rPr>
                <w:color w:val="808080"/>
                <w:sz w:val="22"/>
              </w:rPr>
              <w:t xml:space="preserve"> </w:t>
            </w:r>
            <w:r>
              <w:rPr>
                <w:sz w:val="22"/>
              </w:rPr>
              <w:t xml:space="preserve">Index Station is unavailable. Amendments made to data as a result of editing, quality control, changes in location, and/or instrumentation implemented by the relevant reporting agency shall not warrant employment of the Fallback Methodology. </w:t>
            </w:r>
          </w:p>
          <w:p>
            <w:pPr>
              <w:pStyle w:val="Normal"/>
              <w:jc w:val="both"/>
              <w:rPr>
                <w:sz w:val="22"/>
              </w:rPr>
            </w:pPr>
            <w:r>
              <w:rPr>
                <w:sz w:val="22"/>
              </w:rPr>
            </w:r>
          </w:p>
          <w:p>
            <w:pPr>
              <w:pStyle w:val="Normal"/>
              <w:jc w:val="both"/>
              <w:rPr>
                <w:sz w:val="22"/>
              </w:rPr>
            </w:pPr>
            <w:r>
              <w:rPr>
                <w:sz w:val="22"/>
              </w:rPr>
              <w:t>(i)</w:t>
              <w:tab/>
              <w:t>Defined Terms:</w:t>
            </w:r>
          </w:p>
          <w:p>
            <w:pPr>
              <w:pStyle w:val="Normal"/>
              <w:jc w:val="both"/>
              <w:rPr>
                <w:sz w:val="22"/>
              </w:rPr>
            </w:pPr>
            <w:r>
              <w:rPr>
                <w:sz w:val="22"/>
              </w:rPr>
            </w:r>
          </w:p>
          <w:p>
            <w:pPr>
              <w:pStyle w:val="Normal"/>
              <w:jc w:val="both"/>
              <w:rPr/>
            </w:pPr>
            <w:r>
              <w:rPr>
                <w:b/>
                <w:sz w:val="22"/>
              </w:rPr>
              <w:t>“</w:t>
            </w:r>
            <w:r>
              <w:rPr>
                <w:b/>
                <w:sz w:val="22"/>
              </w:rPr>
              <w:t>Adjustment”</w:t>
            </w:r>
            <w:r>
              <w:rPr>
                <w:sz w:val="22"/>
              </w:rPr>
              <w:t xml:space="preserve"> means the mean of the arithmetic difference (rounded to two decimal places) of the </w:t>
            </w:r>
            <w:r>
              <w:rPr>
                <w:b/>
                <w:sz w:val="22"/>
              </w:rPr>
              <w:t>daily maximum temperature</w:t>
            </w:r>
            <w:r>
              <w:rPr>
                <w:sz w:val="22"/>
              </w:rPr>
              <w:t xml:space="preserve"> (if the unavailable temperature is a daily maximum) and/or the </w:t>
            </w:r>
            <w:r>
              <w:rPr>
                <w:b/>
                <w:sz w:val="22"/>
              </w:rPr>
              <w:t xml:space="preserve">daily minimum temperature </w:t>
            </w:r>
            <w:r>
              <w:rPr>
                <w:sz w:val="22"/>
              </w:rPr>
              <w:t xml:space="preserve">(if the unavailable temperature is a daily minimum) at the Fallback Station subtracted from the relevant temperature at the Index Station during the adjustment period. </w:t>
            </w:r>
          </w:p>
          <w:p>
            <w:pPr>
              <w:pStyle w:val="Normal"/>
              <w:jc w:val="both"/>
              <w:rPr>
                <w:b/>
                <w:sz w:val="22"/>
              </w:rPr>
            </w:pPr>
            <w:r>
              <w:rPr>
                <w:b/>
                <w:sz w:val="22"/>
              </w:rPr>
            </w:r>
          </w:p>
          <w:p>
            <w:pPr>
              <w:pStyle w:val="Normal"/>
              <w:jc w:val="both"/>
              <w:rPr/>
            </w:pPr>
            <w:r>
              <w:rPr>
                <w:sz w:val="22"/>
              </w:rPr>
              <w:t xml:space="preserve">The Rounding Methodology for the daily reported </w:t>
            </w:r>
            <w:r>
              <w:rPr>
                <w:b/>
                <w:sz w:val="22"/>
              </w:rPr>
              <w:t>minimum or maximum temperature</w:t>
            </w:r>
            <w:r>
              <w:rPr>
                <w:sz w:val="22"/>
              </w:rPr>
              <w:t xml:space="preserve">, as the case may be, shall be rounded to whole numbers where if the first number after the decimal point is five (5) or greater then the whole number shall be increased by one (1), and if the first number after the decimal point is less than five (5) then the whole number shall remain unchanged. The following rounding convention will apply to the </w:t>
            </w:r>
            <w:r>
              <w:rPr>
                <w:b/>
                <w:sz w:val="22"/>
              </w:rPr>
              <w:t>Adjustment</w:t>
            </w:r>
            <w:r>
              <w:rPr>
                <w:sz w:val="22"/>
              </w:rPr>
              <w:t>:  if the third number after the decimal place is five (5) or greater then the prior number shall be increased by one (1) and if the third number after the decimal place is less than five (5) then the prior number shall remain unchanged.</w:t>
            </w:r>
          </w:p>
          <w:p>
            <w:pPr>
              <w:pStyle w:val="Normal"/>
              <w:jc w:val="both"/>
              <w:rPr>
                <w:sz w:val="22"/>
              </w:rPr>
            </w:pPr>
            <w:r>
              <w:rPr>
                <w:sz w:val="22"/>
              </w:rPr>
            </w:r>
          </w:p>
          <w:p>
            <w:pPr>
              <w:pStyle w:val="Normal"/>
              <w:jc w:val="both"/>
              <w:rPr/>
            </w:pPr>
            <w:r>
              <w:rPr>
                <w:b/>
                <w:sz w:val="22"/>
              </w:rPr>
              <w:t>“</w:t>
            </w:r>
            <w:r>
              <w:rPr>
                <w:b/>
                <w:sz w:val="22"/>
              </w:rPr>
              <w:t>Missing Data Day”</w:t>
            </w:r>
            <w:r>
              <w:rPr>
                <w:sz w:val="22"/>
              </w:rPr>
              <w:t xml:space="preserve"> means any day during the Determination Period for which official data for the Index Station is unavailable</w:t>
            </w:r>
          </w:p>
          <w:p>
            <w:pPr>
              <w:pStyle w:val="Normal"/>
              <w:jc w:val="both"/>
              <w:rPr>
                <w:b/>
                <w:sz w:val="22"/>
              </w:rPr>
            </w:pPr>
            <w:r>
              <w:rPr>
                <w:b/>
                <w:sz w:val="22"/>
              </w:rPr>
            </w:r>
          </w:p>
          <w:p>
            <w:pPr>
              <w:pStyle w:val="Normal"/>
              <w:jc w:val="both"/>
              <w:rPr/>
            </w:pPr>
            <w:r>
              <w:rPr>
                <w:b/>
                <w:sz w:val="22"/>
              </w:rPr>
              <w:t>“</w:t>
            </w:r>
            <w:r>
              <w:rPr>
                <w:b/>
                <w:sz w:val="22"/>
              </w:rPr>
              <w:t>Missing Data Calculation Day”</w:t>
            </w:r>
            <w:r>
              <w:rPr>
                <w:sz w:val="22"/>
              </w:rPr>
              <w:t xml:space="preserve"> means the same day and same month as the applicable Missing Data Day. </w:t>
            </w:r>
          </w:p>
          <w:p>
            <w:pPr>
              <w:pStyle w:val="Normal"/>
              <w:jc w:val="both"/>
              <w:rPr>
                <w:sz w:val="22"/>
              </w:rPr>
            </w:pPr>
            <w:r>
              <w:rPr>
                <w:sz w:val="22"/>
              </w:rPr>
              <w:tab/>
              <w:t xml:space="preserve"> </w:t>
            </w:r>
          </w:p>
          <w:p>
            <w:pPr>
              <w:pStyle w:val="Normal"/>
              <w:jc w:val="both"/>
              <w:rPr>
                <w:sz w:val="22"/>
              </w:rPr>
            </w:pPr>
            <w:r>
              <w:rPr>
                <w:sz w:val="22"/>
              </w:rPr>
              <w:t>(ii)</w:t>
              <w:tab/>
              <w:t>If temperature data is unavailable for a period of less than twelve consecutive days during the Determination Period, the Adjustment will be calculated for each Missing Data Day using an adjustment period of the 15 days immediately prior to the applicable Missing Data Day and the 15 days immediately following the applicable Missing Data Day.  If there are unavailable temperature values at the Fallback Station and/or the Index Station within the 15 days immediately prior to and 15 days immediately following a Missing Data Day, then an adjustment period of the first 15 days on which the applicable temperature values are available at the Fallback Station and the Index Station (out of a maximum of 25 days) on either side of each Missing Data Day shall be used to calculate the Adjustment.</w:t>
            </w:r>
          </w:p>
          <w:p>
            <w:pPr>
              <w:pStyle w:val="Normal"/>
              <w:jc w:val="both"/>
              <w:rPr>
                <w:sz w:val="22"/>
              </w:rPr>
            </w:pPr>
            <w:r>
              <w:rPr>
                <w:sz w:val="22"/>
              </w:rPr>
            </w:r>
          </w:p>
          <w:p>
            <w:pPr>
              <w:pStyle w:val="Normal"/>
              <w:jc w:val="both"/>
              <w:rPr>
                <w:sz w:val="22"/>
              </w:rPr>
            </w:pPr>
            <w:r>
              <w:rPr>
                <w:sz w:val="22"/>
              </w:rPr>
              <w:t>(iii)</w:t>
              <w:tab/>
              <w:t>If there are missing daily maximum and/or daily minimum temperature values and the methodology in (ii) above cannot be applied (for example twelve or more consecutive days are missing), the Adjustment for each Missing Data Day will be calculated using temperature data from an adjustment period of the 15 days prior to and including the applicable Missing Data Calculation Day and ending 15 days after the applicable Missing Data Calculation Day for the three previous years.  If there is no data for the Index Station and/or the Fallback Station in the immediate three prior years, the adjustment period will be extended back until three years of temperature data can be obtained for the Index Station and the Fallback Station.  If there are unavailable temperatures at the Fallback Station and/or the Index Station within the 15 days prior to and including a Missing Data Calculation Day or 15 days following a Missing Data Calculation Day, then an adjustment period shall be the first 15 days on which the applicable temperature values are available at the Fallback Station and the Index Station (out of a maximum of 25 days) on either side of each Missing Data Calculation Day shall be used to calculate the Adjustment.</w:t>
            </w:r>
          </w:p>
          <w:p>
            <w:pPr>
              <w:pStyle w:val="Normal"/>
              <w:jc w:val="both"/>
              <w:rPr>
                <w:sz w:val="22"/>
              </w:rPr>
            </w:pPr>
            <w:r>
              <w:rPr>
                <w:sz w:val="22"/>
              </w:rPr>
            </w:r>
          </w:p>
          <w:p>
            <w:pPr>
              <w:pStyle w:val="Normal"/>
              <w:jc w:val="both"/>
              <w:rPr/>
            </w:pPr>
            <w:r>
              <w:rPr>
                <w:b/>
                <w:sz w:val="22"/>
              </w:rPr>
              <w:t>Leap Year Exception:</w:t>
            </w:r>
            <w:r>
              <w:rPr>
                <w:sz w:val="22"/>
              </w:rPr>
              <w:t xml:space="preserve"> If the Missing Data Day is February 29</w:t>
            </w:r>
            <w:r>
              <w:rPr>
                <w:sz w:val="22"/>
                <w:vertAlign w:val="superscript"/>
              </w:rPr>
              <w:t>th</w:t>
            </w:r>
            <w:r>
              <w:rPr>
                <w:sz w:val="22"/>
              </w:rPr>
              <w:t>, the Missing Data Calculation Day shall be considered March 1</w:t>
            </w:r>
            <w:r>
              <w:rPr>
                <w:sz w:val="22"/>
                <w:vertAlign w:val="superscript"/>
              </w:rPr>
              <w:t>st</w:t>
            </w:r>
            <w:r>
              <w:rPr>
                <w:sz w:val="22"/>
              </w:rPr>
              <w:t xml:space="preserve">. </w:t>
            </w:r>
          </w:p>
          <w:p>
            <w:pPr>
              <w:pStyle w:val="Normal"/>
              <w:jc w:val="both"/>
              <w:rPr>
                <w:sz w:val="22"/>
              </w:rPr>
            </w:pPr>
            <w:r>
              <w:rPr>
                <w:sz w:val="22"/>
              </w:rPr>
            </w:r>
          </w:p>
          <w:p>
            <w:pPr>
              <w:pStyle w:val="Normal"/>
              <w:jc w:val="both"/>
              <w:rPr>
                <w:sz w:val="22"/>
              </w:rPr>
            </w:pPr>
            <w:r>
              <w:rPr>
                <w:sz w:val="22"/>
              </w:rPr>
              <w:t>The Adjustment (whether positive or negative) shall be added to the relevant temperature (either the daily maximum temperature or the daily minimum temperature) for the Fallback Station as reported by the NCDC for the day on which the data is unavailable at the Index Station. The resulting daily maximum and/or daily minimum temperature will be rounded as follows: if the first number after the decimal place is five (5) or greater then the prior number shall be increased by one (1) and if the first number after the decimal place is less than five (5) then the prior number shall remain unchanged.</w:t>
            </w:r>
          </w:p>
          <w:p>
            <w:pPr>
              <w:pStyle w:val="Normal"/>
              <w:jc w:val="both"/>
              <w:rPr>
                <w:sz w:val="22"/>
              </w:rPr>
            </w:pPr>
            <w:r>
              <w:rPr>
                <w:sz w:val="22"/>
              </w:rPr>
            </w:r>
          </w:p>
          <w:p>
            <w:pPr>
              <w:pStyle w:val="Normal"/>
              <w:jc w:val="both"/>
              <w:rPr>
                <w:sz w:val="22"/>
              </w:rPr>
            </w:pPr>
            <w:r>
              <w:rPr>
                <w:sz w:val="22"/>
              </w:rPr>
              <w:t>(v)</w:t>
              <w:tab/>
              <w:t xml:space="preserve">If the Adjustment cannot be calculated using the available data from the Fallback Station, the Adjustment shall be calculated using the above methodology and substituting the Second Fallback Station for the Fallback Station. </w:t>
            </w:r>
          </w:p>
          <w:p>
            <w:pPr>
              <w:pStyle w:val="Normal"/>
              <w:jc w:val="both"/>
              <w:rPr>
                <w:sz w:val="22"/>
              </w:rPr>
            </w:pPr>
            <w:r>
              <w:rPr>
                <w:sz w:val="22"/>
              </w:rPr>
            </w:r>
          </w:p>
          <w:p>
            <w:pPr>
              <w:pStyle w:val="Normal"/>
              <w:jc w:val="both"/>
              <w:rPr>
                <w:sz w:val="22"/>
              </w:rPr>
            </w:pPr>
            <w:r>
              <w:rPr>
                <w:sz w:val="22"/>
              </w:rPr>
              <w:t>(vi)</w:t>
              <w:tab/>
              <w:t>If after the Payment Amount is calculated but prior to 95 days after the end of the Determination Period, the NCDC publishes official data for days on which Adjustment values were calculated, the official data shall take precedence over any Adjustment values calculated with Fallback Station data.</w:t>
            </w:r>
          </w:p>
          <w:p>
            <w:pPr>
              <w:pStyle w:val="Normal"/>
              <w:jc w:val="both"/>
              <w:rPr>
                <w:sz w:val="22"/>
              </w:rPr>
            </w:pPr>
            <w:r>
              <w:rPr>
                <w:sz w:val="22"/>
              </w:rPr>
            </w:r>
          </w:p>
        </w:tc>
      </w:tr>
      <w:tr>
        <w:trPr/>
        <w:tc>
          <w:tcPr>
            <w:tcW w:w="3168" w:type="dxa"/>
            <w:tcBorders/>
          </w:tcPr>
          <w:p>
            <w:pPr>
              <w:pStyle w:val="Normal"/>
              <w:jc w:val="both"/>
              <w:rPr>
                <w:sz w:val="22"/>
              </w:rPr>
            </w:pPr>
            <w:r>
              <w:rPr>
                <w:sz w:val="22"/>
              </w:rPr>
              <w:t>Data Sources:</w:t>
            </w:r>
          </w:p>
        </w:tc>
        <w:tc>
          <w:tcPr>
            <w:tcW w:w="6408" w:type="dxa"/>
            <w:tcBorders/>
          </w:tcPr>
          <w:p>
            <w:pPr>
              <w:pStyle w:val="Normal"/>
              <w:jc w:val="both"/>
              <w:rPr>
                <w:sz w:val="22"/>
              </w:rPr>
            </w:pPr>
            <w:r>
              <w:rPr>
                <w:sz w:val="22"/>
              </w:rPr>
              <w:t>The data used to determine the Floating Amount (and to the extent required, data for the Fallback Station) shall be obtained from the NCDC’s official website located at http://www.nndc.noaa.gov,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Determination Period or (ii) the data is temporarily sourced from the Regional Climate Data Center, then the data for such new, adjusted or corrected number(s) shall be obtained from the NCDC’s official website located at http://www.ncdc.noaa.gov. Notwithstanding the foregoing, if neither the Regional Climate Data Center nor the NCDC issues data for the Index Station, then the procedures set forth under "Fallback Methodology" shall be utilized to determine the missing data.</w:t>
            </w:r>
          </w:p>
          <w:p>
            <w:pPr>
              <w:pStyle w:val="Normal"/>
              <w:jc w:val="both"/>
              <w:rPr>
                <w:sz w:val="22"/>
              </w:rPr>
            </w:pPr>
            <w:r>
              <w:rPr>
                <w:sz w:val="22"/>
              </w:rPr>
            </w:r>
          </w:p>
        </w:tc>
      </w:tr>
      <w:tr>
        <w:trPr/>
        <w:tc>
          <w:tcPr>
            <w:tcW w:w="3168" w:type="dxa"/>
            <w:tcBorders/>
          </w:tcPr>
          <w:p>
            <w:pPr>
              <w:pStyle w:val="Normal"/>
              <w:jc w:val="both"/>
              <w:rPr>
                <w:sz w:val="22"/>
              </w:rPr>
            </w:pPr>
            <w:r>
              <w:rPr>
                <w:sz w:val="22"/>
              </w:rPr>
              <w:t>Strike Amount Differential:</w:t>
            </w:r>
          </w:p>
          <w:p>
            <w:pPr>
              <w:pStyle w:val="Normal"/>
              <w:jc w:val="both"/>
              <w:rPr>
                <w:sz w:val="22"/>
              </w:rPr>
            </w:pPr>
            <w:r>
              <w:rPr>
                <w:sz w:val="22"/>
              </w:rPr>
            </w:r>
          </w:p>
        </w:tc>
        <w:tc>
          <w:tcPr>
            <w:tcW w:w="6408" w:type="dxa"/>
            <w:tcBorders/>
          </w:tcPr>
          <w:p>
            <w:pPr>
              <w:pStyle w:val="Normal"/>
              <w:jc w:val="both"/>
              <w:rPr>
                <w:sz w:val="22"/>
              </w:rPr>
            </w:pPr>
            <w:r>
              <w:rPr>
                <w:sz w:val="22"/>
              </w:rPr>
              <w:t xml:space="preserve">The amount equal to the excess (if a positive number) of (i) the Strike Amount over (ii) the Floating Amount </w:t>
            </w:r>
          </w:p>
        </w:tc>
      </w:tr>
      <w:tr>
        <w:trPr/>
        <w:tc>
          <w:tcPr>
            <w:tcW w:w="3168" w:type="dxa"/>
            <w:tcBorders/>
          </w:tcPr>
          <w:p>
            <w:pPr>
              <w:pStyle w:val="Normal"/>
              <w:tabs>
                <w:tab w:val="clear" w:pos="720"/>
                <w:tab w:val="left" w:pos="2070" w:leader="none"/>
              </w:tabs>
              <w:snapToGrid w:val="false"/>
              <w:ind w:end="792"/>
              <w:jc w:val="both"/>
              <w:rPr>
                <w:sz w:val="22"/>
              </w:rPr>
            </w:pPr>
            <w:r>
              <w:rPr>
                <w:sz w:val="22"/>
              </w:rPr>
            </w:r>
          </w:p>
        </w:tc>
        <w:tc>
          <w:tcPr>
            <w:tcW w:w="6408" w:type="dxa"/>
            <w:tcBorders/>
          </w:tcPr>
          <w:p>
            <w:pPr>
              <w:pStyle w:val="Normal"/>
              <w:snapToGrid w:val="false"/>
              <w:jc w:val="both"/>
              <w:rPr>
                <w:sz w:val="22"/>
              </w:rPr>
            </w:pPr>
            <w:r>
              <w:rPr>
                <w:sz w:val="22"/>
              </w:rPr>
            </w:r>
          </w:p>
        </w:tc>
      </w:tr>
      <w:tr>
        <w:trPr/>
        <w:tc>
          <w:tcPr>
            <w:tcW w:w="3168" w:type="dxa"/>
            <w:tcBorders/>
          </w:tcPr>
          <w:p>
            <w:pPr>
              <w:pStyle w:val="Normal"/>
              <w:jc w:val="both"/>
              <w:rPr>
                <w:sz w:val="22"/>
              </w:rPr>
            </w:pPr>
            <w:r>
              <w:rPr>
                <w:sz w:val="22"/>
              </w:rPr>
              <w:t>Payment Amount:</w:t>
            </w:r>
          </w:p>
        </w:tc>
        <w:tc>
          <w:tcPr>
            <w:tcW w:w="6408" w:type="dxa"/>
            <w:tcBorders/>
          </w:tcPr>
          <w:p>
            <w:pPr>
              <w:pStyle w:val="Normal"/>
              <w:keepNext w:val="true"/>
              <w:keepLines/>
              <w:jc w:val="both"/>
              <w:rPr/>
            </w:pPr>
            <w:r>
              <w:rPr>
                <w:sz w:val="22"/>
              </w:rPr>
              <w:t xml:space="preserve">If the Strike Amount is greater than the Floating Amount, the Floating Amount Payer shall pay the Fixed Amount Payer an amount in US Dollars equal to the product of (i) the Notional Amount and (ii) the Strike Amount Differential, which amount shall be due and payable on the applicable Payment Date, </w:t>
            </w:r>
            <w:r>
              <w:rPr>
                <w:b/>
                <w:sz w:val="22"/>
              </w:rPr>
              <w:t>provided, however</w:t>
            </w:r>
            <w:r>
              <w:rPr>
                <w:sz w:val="22"/>
              </w:rPr>
              <w:t xml:space="preserve">, that the maximum amount payable by the Floating Amount Payer shall not exceed </w:t>
            </w:r>
            <w:r>
              <w:rPr>
                <w:color w:val="FF0000"/>
                <w:sz w:val="22"/>
              </w:rPr>
              <w:t>$$$$$$$</w:t>
            </w:r>
            <w:r>
              <w:rPr>
                <w:sz w:val="22"/>
              </w:rPr>
              <w:t>.</w:t>
            </w:r>
          </w:p>
          <w:p>
            <w:pPr>
              <w:pStyle w:val="Normal"/>
              <w:keepNext w:val="true"/>
              <w:keepLines/>
              <w:ind w:start="-3078" w:end="0"/>
              <w:jc w:val="both"/>
              <w:rPr>
                <w:sz w:val="22"/>
              </w:rPr>
            </w:pPr>
            <w:r>
              <w:rPr>
                <w:sz w:val="22"/>
              </w:rPr>
            </w:r>
          </w:p>
        </w:tc>
      </w:tr>
      <w:tr>
        <w:trPr/>
        <w:tc>
          <w:tcPr>
            <w:tcW w:w="3168" w:type="dxa"/>
            <w:tcBorders/>
          </w:tcPr>
          <w:p>
            <w:pPr>
              <w:pStyle w:val="Normal"/>
              <w:rPr>
                <w:sz w:val="22"/>
              </w:rPr>
            </w:pPr>
            <w:r>
              <w:rPr>
                <w:sz w:val="22"/>
              </w:rPr>
              <w:t>Contractual Currency:</w:t>
            </w:r>
          </w:p>
        </w:tc>
        <w:tc>
          <w:tcPr>
            <w:tcW w:w="6390" w:type="dxa"/>
            <w:tcBorders/>
          </w:tcPr>
          <w:p>
            <w:pPr>
              <w:pStyle w:val="Normal"/>
              <w:ind w:end="684"/>
              <w:jc w:val="both"/>
              <w:rPr>
                <w:sz w:val="22"/>
              </w:rPr>
            </w:pPr>
            <w:r>
              <w:rPr>
                <w:sz w:val="22"/>
              </w:rPr>
              <w:t>US Dollars ($)</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sz w:val="22"/>
              </w:rPr>
            </w:pPr>
            <w:r>
              <w:rPr>
                <w:sz w:val="22"/>
              </w:rPr>
            </w:r>
          </w:p>
        </w:tc>
      </w:tr>
      <w:tr>
        <w:trPr/>
        <w:tc>
          <w:tcPr>
            <w:tcW w:w="3168" w:type="dxa"/>
            <w:tcBorders/>
          </w:tcPr>
          <w:p>
            <w:pPr>
              <w:pStyle w:val="Normal"/>
              <w:rPr>
                <w:sz w:val="22"/>
              </w:rPr>
            </w:pPr>
            <w:r>
              <w:rPr>
                <w:sz w:val="22"/>
              </w:rPr>
              <w:t>Governing Law:</w:t>
            </w:r>
          </w:p>
        </w:tc>
        <w:tc>
          <w:tcPr>
            <w:tcW w:w="6390" w:type="dxa"/>
            <w:tcBorders/>
          </w:tcPr>
          <w:p>
            <w:pPr>
              <w:pStyle w:val="Normal"/>
              <w:ind w:end="684"/>
              <w:jc w:val="both"/>
              <w:rPr>
                <w:sz w:val="22"/>
              </w:rPr>
            </w:pPr>
            <w:r>
              <w:rPr>
                <w:sz w:val="22"/>
              </w:rPr>
              <w:t>Texas</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sz w:val="22"/>
              </w:rPr>
            </w:pPr>
            <w:r>
              <w:rPr>
                <w:sz w:val="22"/>
              </w:rPr>
            </w:r>
          </w:p>
        </w:tc>
      </w:tr>
      <w:tr>
        <w:trPr/>
        <w:tc>
          <w:tcPr>
            <w:tcW w:w="3168" w:type="dxa"/>
            <w:tcBorders/>
          </w:tcPr>
          <w:p>
            <w:pPr>
              <w:pStyle w:val="Normal"/>
              <w:rPr>
                <w:sz w:val="22"/>
              </w:rPr>
            </w:pPr>
            <w:r>
              <w:rPr>
                <w:sz w:val="22"/>
              </w:rPr>
              <w:t>General Terms and Conditions</w:t>
            </w:r>
          </w:p>
          <w:p>
            <w:pPr>
              <w:pStyle w:val="Normal"/>
              <w:rPr>
                <w:sz w:val="22"/>
              </w:rPr>
            </w:pPr>
            <w:r>
              <w:rPr>
                <w:sz w:val="22"/>
              </w:rPr>
              <w:t>of Confirmations:</w:t>
            </w:r>
          </w:p>
        </w:tc>
        <w:tc>
          <w:tcPr>
            <w:tcW w:w="6390" w:type="dxa"/>
            <w:tcBorders/>
          </w:tcPr>
          <w:p>
            <w:pPr>
              <w:pStyle w:val="Normal"/>
              <w:snapToGrid w:val="false"/>
              <w:ind w:end="684"/>
              <w:jc w:val="both"/>
              <w:rPr>
                <w:sz w:val="22"/>
              </w:rPr>
            </w:pPr>
            <w:r>
              <w:rPr>
                <w:sz w:val="22"/>
              </w:rPr>
            </w:r>
          </w:p>
          <w:p>
            <w:pPr>
              <w:pStyle w:val="Normal"/>
              <w:tabs>
                <w:tab w:val="clear" w:pos="720"/>
                <w:tab w:val="left" w:pos="4662" w:leader="none"/>
                <w:tab w:val="left" w:pos="5022" w:leader="none"/>
                <w:tab w:val="left" w:pos="5094" w:leader="none"/>
              </w:tabs>
              <w:ind w:end="-18"/>
              <w:jc w:val="both"/>
              <w:rPr>
                <w:sz w:val="22"/>
              </w:rPr>
            </w:pPr>
            <w:r>
              <w:rPr>
                <w:sz w:val="22"/>
              </w:rPr>
              <w:t>The general terms and conditions contained in Annex A attached hereto shall apply to this Confirmation, and are hereby made a part hereof and incorporated herein by reference.</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sz w:val="22"/>
              </w:rPr>
            </w:pPr>
            <w:r>
              <w:rPr>
                <w:sz w:val="22"/>
              </w:rPr>
            </w:r>
          </w:p>
        </w:tc>
      </w:tr>
      <w:tr>
        <w:trPr/>
        <w:tc>
          <w:tcPr>
            <w:tcW w:w="3168" w:type="dxa"/>
            <w:tcBorders/>
          </w:tcPr>
          <w:p>
            <w:pPr>
              <w:pStyle w:val="Normal"/>
              <w:rPr>
                <w:sz w:val="22"/>
              </w:rPr>
            </w:pPr>
            <w:r>
              <w:rPr>
                <w:sz w:val="22"/>
              </w:rPr>
              <w:t>Credit or Other Special Provisions:</w:t>
            </w:r>
          </w:p>
        </w:tc>
        <w:tc>
          <w:tcPr>
            <w:tcW w:w="6390" w:type="dxa"/>
            <w:tcBorders/>
          </w:tcPr>
          <w:p>
            <w:pPr>
              <w:pStyle w:val="Normal"/>
              <w:ind w:end="-468"/>
              <w:rPr>
                <w:sz w:val="22"/>
              </w:rPr>
            </w:pPr>
            <w:r>
              <w:rPr>
                <w:sz w:val="22"/>
              </w:rPr>
              <w:t>ADDITIONAL PROVISIONS MAY APPLY DEPENDING ON COUNTERPARTY</w:t>
            </w:r>
          </w:p>
        </w:tc>
      </w:tr>
    </w:tbl>
    <w:p>
      <w:pPr>
        <w:pStyle w:val="Normal"/>
        <w:jc w:val="both"/>
        <w:rPr>
          <w:sz w:val="22"/>
        </w:rPr>
      </w:pPr>
      <w:r>
        <w:rPr>
          <w:sz w:val="22"/>
        </w:rPr>
      </w:r>
    </w:p>
    <w:p>
      <w:pPr>
        <w:pStyle w:val="Normal"/>
        <w:jc w:val="both"/>
        <w:rPr>
          <w:sz w:val="22"/>
        </w:rPr>
      </w:pPr>
      <w:r>
        <w:rPr>
          <w:sz w:val="22"/>
        </w:rPr>
      </w:r>
    </w:p>
    <w:p>
      <w:pPr>
        <w:pStyle w:val="Normal"/>
        <w:tabs>
          <w:tab w:val="left" w:pos="720" w:leader="none"/>
        </w:tabs>
        <w:ind w:end="-72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72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spacing w:before="120" w:after="120"/>
        <w:rPr>
          <w:sz w:val="22"/>
        </w:rPr>
      </w:pPr>
      <w:r>
        <w:rPr>
          <w:sz w:val="22"/>
        </w:rPr>
        <w:t>Sincerely,</w:t>
      </w:r>
    </w:p>
    <w:p>
      <w:pPr>
        <w:pStyle w:val="Heading1"/>
        <w:tabs>
          <w:tab w:val="clear" w:pos="720"/>
          <w:tab w:val="left" w:pos="5760" w:leader="none"/>
        </w:tabs>
        <w:spacing w:before="0" w:after="120"/>
        <w:ind w:hanging="0" w:start="0"/>
        <w:rPr/>
      </w:pPr>
      <w:r>
        <w:rPr/>
        <w:t>ENRON ENERGY SERVICES, INC.</w:t>
        <w:tab/>
      </w:r>
      <w:r>
        <w:rPr>
          <w:color w:val="FF0000"/>
        </w:rPr>
        <w:t>[COUNTERPARTY]</w:t>
      </w:r>
    </w:p>
    <w:p>
      <w:pPr>
        <w:pStyle w:val="Normal"/>
        <w:rPr>
          <w:color w:val="FF0000"/>
          <w:sz w:val="22"/>
        </w:rPr>
      </w:pPr>
      <w:r>
        <w:rPr>
          <w:color w:val="FF0000"/>
          <w:sz w:val="22"/>
        </w:rPr>
      </w:r>
    </w:p>
    <w:p>
      <w:pPr>
        <w:pStyle w:val="Normal"/>
        <w:tabs>
          <w:tab w:val="clear" w:pos="720"/>
          <w:tab w:val="left" w:pos="4140" w:leader="none"/>
          <w:tab w:val="left" w:pos="5760" w:leader="none"/>
          <w:tab w:val="left" w:pos="9900" w:leader="none"/>
        </w:tabs>
        <w:spacing w:before="0" w:after="120"/>
        <w:rPr>
          <w:sz w:val="22"/>
          <w:u w:val="single"/>
        </w:rPr>
      </w:pPr>
      <w:r>
        <w:rPr>
          <w:sz w:val="22"/>
        </w:rPr>
        <w:t>By:</w:t>
      </w:r>
      <w:r>
        <w:rPr>
          <w:b/>
          <w:sz w:val="22"/>
          <w:u w:val="single"/>
        </w:rPr>
        <w:t xml:space="preserve">      NOT FOR EXECUTION</w:t>
        <w:tab/>
      </w:r>
      <w:r>
        <w:rPr>
          <w:sz w:val="22"/>
        </w:rPr>
        <w:tab/>
        <w:t>By:</w:t>
      </w:r>
      <w:r>
        <w:rPr>
          <w:b/>
          <w:sz w:val="22"/>
          <w:u w:val="single"/>
        </w:rPr>
        <w:t xml:space="preserve">   NOT FOR EXECUTION</w:t>
        <w:tab/>
      </w:r>
    </w:p>
    <w:p>
      <w:pPr>
        <w:pStyle w:val="Normal"/>
        <w:tabs>
          <w:tab w:val="clear" w:pos="720"/>
          <w:tab w:val="left" w:pos="4140" w:leader="none"/>
          <w:tab w:val="left" w:pos="5760" w:leader="none"/>
          <w:tab w:val="left" w:pos="9900" w:leader="none"/>
        </w:tabs>
        <w:spacing w:before="0" w:after="120"/>
        <w:rPr/>
      </w:pPr>
      <w:r>
        <w:rPr>
          <w:sz w:val="22"/>
        </w:rPr>
        <w:t>Name:</w:t>
      </w:r>
      <w:r>
        <w:rPr>
          <w:sz w:val="22"/>
          <w:u w:val="single"/>
        </w:rPr>
        <w:tab/>
      </w:r>
      <w:r>
        <w:rPr>
          <w:sz w:val="22"/>
        </w:rPr>
        <w:tab/>
        <w:t>Name:</w:t>
      </w:r>
      <w:r>
        <w:rPr>
          <w:sz w:val="22"/>
          <w:u w:val="single"/>
        </w:rPr>
        <w:tab/>
      </w:r>
    </w:p>
    <w:p>
      <w:pPr>
        <w:pStyle w:val="Normal"/>
        <w:tabs>
          <w:tab w:val="clear" w:pos="720"/>
          <w:tab w:val="left" w:pos="4140" w:leader="none"/>
          <w:tab w:val="left" w:pos="5760" w:leader="none"/>
          <w:tab w:val="left" w:pos="9900" w:leader="none"/>
        </w:tabs>
        <w:spacing w:before="0" w:after="120"/>
        <w:rPr/>
      </w:pPr>
      <w:r>
        <w:rPr>
          <w:sz w:val="22"/>
        </w:rPr>
        <w:t>Title:</w:t>
      </w:r>
      <w:r>
        <w:rPr>
          <w:sz w:val="22"/>
          <w:u w:val="single"/>
        </w:rPr>
        <w:tab/>
      </w:r>
      <w:r>
        <w:rPr>
          <w:sz w:val="22"/>
        </w:rPr>
        <w:tab/>
        <w:t>Title:</w:t>
      </w:r>
      <w:r>
        <w:rPr>
          <w:sz w:val="22"/>
          <w:u w:val="single"/>
        </w:rPr>
        <w:tab/>
      </w:r>
    </w:p>
    <w:p>
      <w:pPr>
        <w:pStyle w:val="Normal"/>
        <w:tabs>
          <w:tab w:val="clear" w:pos="720"/>
          <w:tab w:val="left" w:pos="4140" w:leader="none"/>
          <w:tab w:val="left" w:pos="5760" w:leader="none"/>
          <w:tab w:val="left" w:pos="9900" w:leader="none"/>
        </w:tabs>
        <w:rPr/>
      </w:pPr>
      <w:r>
        <w:rPr>
          <w:sz w:val="22"/>
        </w:rPr>
        <w:t>Date:</w:t>
      </w:r>
      <w:r>
        <w:rPr>
          <w:sz w:val="22"/>
          <w:u w:val="single"/>
        </w:rPr>
        <w:tab/>
      </w:r>
      <w:r>
        <w:rPr>
          <w:sz w:val="22"/>
        </w:rPr>
        <w:tab/>
        <w:t>Date:</w:t>
      </w:r>
      <w:r>
        <w:rPr>
          <w:sz w:val="22"/>
          <w:u w:val="single"/>
        </w:rPr>
        <w:tab/>
      </w:r>
    </w:p>
    <w:p>
      <w:pPr>
        <w:pStyle w:val="Normal"/>
        <w:rPr>
          <w:sz w:val="22"/>
          <w:u w:val="single"/>
        </w:rPr>
      </w:pPr>
      <w:r>
        <w:rPr>
          <w:sz w:val="22"/>
          <w:u w:val="single"/>
        </w:rPr>
      </w:r>
    </w:p>
    <w:p>
      <w:pPr>
        <w:pStyle w:val="BodyText2"/>
        <w:rPr/>
      </w:pPr>
      <w:r>
        <w:rPr/>
        <w:t>COUNTERPARTY: AFTER YOU HAVE CONFIRMED TRANSACTION, PLEASE RETURN TO EESI, ATTENTION:  ASSISTANT GENERAL COUNSEL - COMMODITY AT FAX NO 713.646.8860.</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EESI:</w:t>
            </w:r>
          </w:p>
        </w:tc>
        <w:tc>
          <w:tcPr>
            <w:tcW w:w="4932" w:type="dxa"/>
            <w:tcBorders/>
          </w:tcPr>
          <w:p>
            <w:pPr>
              <w:pStyle w:val="Normal"/>
              <w:rPr>
                <w:sz w:val="22"/>
              </w:rPr>
            </w:pPr>
            <w:r>
              <w:rPr>
                <w:b/>
                <w:sz w:val="22"/>
              </w:rPr>
              <w:t>Payment Account Information for EESI:</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PO Box 1188</w:t>
            </w:r>
          </w:p>
        </w:tc>
        <w:tc>
          <w:tcPr>
            <w:tcW w:w="4932" w:type="dxa"/>
            <w:tcBorders/>
          </w:tcPr>
          <w:p>
            <w:pPr>
              <w:pStyle w:val="Normal"/>
              <w:rPr>
                <w:sz w:val="22"/>
              </w:rPr>
            </w:pPr>
            <w:r>
              <w:rPr>
                <w:sz w:val="22"/>
              </w:rPr>
              <w:t>Wire Transfer to: Bank of America, NA</w:t>
            </w:r>
          </w:p>
        </w:tc>
      </w:tr>
      <w:tr>
        <w:trPr/>
        <w:tc>
          <w:tcPr>
            <w:tcW w:w="5508" w:type="dxa"/>
            <w:tcBorders/>
          </w:tcPr>
          <w:p>
            <w:pPr>
              <w:pStyle w:val="Normal"/>
              <w:rPr>
                <w:sz w:val="22"/>
              </w:rPr>
            </w:pPr>
            <w:r>
              <w:rPr>
                <w:sz w:val="22"/>
              </w:rPr>
              <w:t>Houston, TX  77251-1188</w:t>
            </w:r>
          </w:p>
        </w:tc>
        <w:tc>
          <w:tcPr>
            <w:tcW w:w="4932" w:type="dxa"/>
            <w:tcBorders/>
          </w:tcPr>
          <w:p>
            <w:pPr>
              <w:pStyle w:val="Normal"/>
              <w:rPr>
                <w:sz w:val="22"/>
              </w:rPr>
            </w:pPr>
            <w:r>
              <w:rPr>
                <w:sz w:val="22"/>
              </w:rPr>
              <w:t>Acct No. 3751520438</w:t>
            </w:r>
          </w:p>
        </w:tc>
      </w:tr>
      <w:tr>
        <w:trPr/>
        <w:tc>
          <w:tcPr>
            <w:tcW w:w="5508" w:type="dxa"/>
            <w:tcBorders/>
          </w:tcPr>
          <w:p>
            <w:pPr>
              <w:pStyle w:val="Normal"/>
              <w:rPr>
                <w:sz w:val="22"/>
              </w:rPr>
            </w:pPr>
            <w:r>
              <w:rPr>
                <w:sz w:val="22"/>
              </w:rPr>
              <w:t>Attention:  Assistant General Counsel – Commodity</w:t>
            </w:r>
          </w:p>
        </w:tc>
        <w:tc>
          <w:tcPr>
            <w:tcW w:w="4932" w:type="dxa"/>
            <w:tcBorders/>
          </w:tcPr>
          <w:p>
            <w:pPr>
              <w:pStyle w:val="Normal"/>
              <w:rPr>
                <w:sz w:val="22"/>
              </w:rPr>
            </w:pPr>
            <w:r>
              <w:rPr>
                <w:sz w:val="22"/>
              </w:rPr>
              <w:t>ABA Routing No. 111000012</w:t>
            </w:r>
          </w:p>
        </w:tc>
      </w:tr>
      <w:tr>
        <w:trPr/>
        <w:tc>
          <w:tcPr>
            <w:tcW w:w="5508" w:type="dxa"/>
            <w:tcBorders/>
          </w:tcPr>
          <w:p>
            <w:pPr>
              <w:pStyle w:val="Normal"/>
              <w:rPr>
                <w:sz w:val="22"/>
              </w:rPr>
            </w:pPr>
            <w:r>
              <w:rPr>
                <w:sz w:val="22"/>
              </w:rPr>
              <w:t>Fax:  (713) 646-8860</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853-1595</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General Counsel</w:t>
      </w:r>
    </w:p>
    <w:p>
      <w:pPr>
        <w:pStyle w:val="Normal"/>
        <w:rPr>
          <w:sz w:val="22"/>
        </w:rPr>
      </w:pPr>
      <w:r>
        <w:rPr>
          <w:sz w:val="22"/>
        </w:rPr>
        <w:t>Fax:  (713) 646-2379</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BodyText3"/>
        <w:rPr/>
      </w:pPr>
      <w:r>
        <w:rPr/>
        <w:t>COUNTERPARTY: PLEASE PROVIDE ABOVE REQUESTED INFORMATION IF NOT PROVIDED PREVIOUSLY OR IF CHANGES HAVE OCCURRED</w:t>
      </w:r>
    </w:p>
    <w:p>
      <w:pPr>
        <w:pStyle w:val="Normal"/>
        <w:jc w:val="both"/>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CDD Northeast Basket Floor (Version 10.05.01)</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CONFIDENTIAL DRAFT  DATED 10-05-01</w:t>
    </w:r>
  </w:p>
  <w:p>
    <w:pPr>
      <w:pStyle w:val="Header"/>
      <w:rPr/>
    </w:pPr>
    <w:r>
      <w:rPr>
        <w:b/>
      </w:rPr>
      <w:tab/>
      <w:t>For discussion purposes only</w:t>
      <w:tab/>
      <w:tab/>
      <w:tab/>
      <w:t xml:space="preserve"> </w:t>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color w:val="000000"/>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w:hAnsi="Arial" w:eastAsia="Arial Unicode MS" w:cs="Arial"/>
      <w:color w:val="000000"/>
    </w:rPr>
  </w:style>
  <w:style w:type="paragraph" w:styleId="BodyText2">
    <w:name w:val="Body Text 2"/>
    <w:basedOn w:val="Normal"/>
    <w:qFormat/>
    <w:pPr>
      <w:jc w:val="both"/>
    </w:pPr>
    <w:rPr>
      <w:b/>
      <w:sz w:val="18"/>
    </w:rPr>
  </w:style>
  <w:style w:type="paragraph" w:styleId="BodyTextIndent3">
    <w:name w:val="Body Text Indent 3"/>
    <w:basedOn w:val="Normal"/>
    <w:qFormat/>
    <w:pPr>
      <w:tabs>
        <w:tab w:val="clear" w:pos="720"/>
        <w:tab w:val="left" w:pos="72" w:leader="none"/>
      </w:tabs>
      <w:ind w:hanging="18" w:start="72" w:end="0"/>
      <w:jc w:val="both"/>
    </w:pPr>
    <w:rPr>
      <w:color w:val="80008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2001-10-05T18:39:00Z</dcterms:created>
  <dc:creator>Lucy Ortiz</dc:creator>
  <dc:description/>
  <dc:language>en-CA</dc:language>
  <cp:lastModifiedBy>eessando</cp:lastModifiedBy>
  <cp:lastPrinted>2001-09-20T14:45:00Z</cp:lastPrinted>
  <dcterms:modified xsi:type="dcterms:W3CDTF">2001-10-05T18:42:00Z</dcterms:modified>
  <cp:revision>3</cp:revision>
  <dc:subject/>
  <dc:title> </dc:title>
</cp:coreProperties>
</file>