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 xml:space="preserve">This redlined draft, generated by CompareRite (TM) - The Instant Redliner, shows the differences between - </w:t>
      </w:r>
    </w:p>
    <w:p>
      <w:pPr>
        <w:pStyle w:val="Normal"/>
        <w:rPr>
          <w:sz w:val="24"/>
        </w:rPr>
      </w:pPr>
      <w:r>
        <w:rPr>
          <w:sz w:val="24"/>
        </w:rPr>
        <w:t>original document   : J:\LEGAL\EESSANDOH\FORMS\WEATHER SNOWCAP OPTION (9.17.01).DOC</w:t>
      </w:r>
    </w:p>
    <w:p>
      <w:pPr>
        <w:pStyle w:val="Normal"/>
        <w:rPr>
          <w:sz w:val="24"/>
        </w:rPr>
      </w:pPr>
      <w:r>
        <w:rPr>
          <w:sz w:val="24"/>
        </w:rPr>
        <w:t>and revised document: J:\LEGAL\EESSANDOH\FORMS\WEATHER SNOWCAP OPTION (9.18.01).DOC</w:t>
      </w:r>
    </w:p>
    <w:p>
      <w:pPr>
        <w:pStyle w:val="Normal"/>
        <w:rPr>
          <w:sz w:val="24"/>
        </w:rPr>
      </w:pPr>
      <w:r>
        <w:rPr>
          <w:sz w:val="24"/>
        </w:rPr>
      </w:r>
    </w:p>
    <w:p>
      <w:pPr>
        <w:pStyle w:val="Normal"/>
        <w:rPr>
          <w:sz w:val="24"/>
        </w:rPr>
      </w:pPr>
      <w:r>
        <w:rPr>
          <w:sz w:val="24"/>
        </w:rPr>
        <w:t>CompareRite found   17 change(s) in the text</w:t>
      </w:r>
    </w:p>
    <w:p>
      <w:pPr>
        <w:pStyle w:val="Normal"/>
        <w:rPr>
          <w:sz w:val="24"/>
        </w:rPr>
      </w:pPr>
      <w:r>
        <w:rPr>
          <w:sz w:val="24"/>
        </w:rPr>
      </w:r>
    </w:p>
    <w:p>
      <w:pPr>
        <w:pStyle w:val="Normal"/>
        <w:rPr>
          <w:sz w:val="24"/>
        </w:rPr>
      </w:pPr>
      <w:r>
        <w:rPr>
          <w:sz w:val="24"/>
        </w:rPr>
        <w:t>Deletions appear as Overstrike text surrounded by {}</w:t>
      </w:r>
    </w:p>
    <w:p>
      <w:pPr>
        <w:pStyle w:val="Normal"/>
        <w:rPr>
          <w:sz w:val="24"/>
        </w:rPr>
      </w:pPr>
      <w:r>
        <w:rPr>
          <w:sz w:val="24"/>
        </w:rPr>
        <w:t>Additions appear as Bold text surrounded by []</w:t>
      </w:r>
      <w:r>
        <w:br w:type="page"/>
      </w:r>
    </w:p>
    <w:p>
      <w:pPr>
        <w:pStyle w:val="Normal"/>
        <w:widowControl/>
        <w:jc w:val="end"/>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widowControl/>
              <w:rPr/>
            </w:pPr>
            <w:r>
              <w:rPr/>
              <w:drawing>
                <wp:inline distT="0" distB="0" distL="0" distR="0">
                  <wp:extent cx="1231265" cy="12230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231265" cy="1223010"/>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Energy Services, Inc.</w:t>
            </w:r>
            <w:r>
              <w:rPr>
                <w:sz w:val="22"/>
                <w:b/>
              </w:rPr>
              <w:fldChar w:fldCharType="end"/>
            </w:r>
          </w:p>
          <w:p>
            <w:pPr>
              <w:pStyle w:val="Normal"/>
              <w:widowControl/>
              <w:tabs>
                <w:tab w:val="clear" w:pos="720"/>
                <w:tab w:val="left" w:pos="2412" w:leader="none"/>
              </w:tabs>
              <w:ind w:start="1962" w:end="0"/>
              <w:rPr>
                <w:sz w:val="22"/>
              </w:rPr>
            </w:pPr>
            <w:r>
              <w:rPr>
                <w:sz w:val="22"/>
              </w:rPr>
              <w:t>Office of the General Counsel</w:t>
            </w:r>
          </w:p>
          <w:p>
            <w:pPr>
              <w:pStyle w:val="Normal"/>
              <w:widowControl/>
              <w:tabs>
                <w:tab w:val="clear" w:pos="720"/>
                <w:tab w:val="left" w:pos="2412" w:leader="none"/>
              </w:tabs>
              <w:ind w:start="1962" w:end="0"/>
              <w:rPr>
                <w:sz w:val="22"/>
              </w:rPr>
            </w:pPr>
            <w:r>
              <w:rPr>
                <w:sz w:val="22"/>
              </w:rPr>
              <w:t>1400 Smith Street</w:t>
            </w:r>
          </w:p>
          <w:p>
            <w:pPr>
              <w:pStyle w:val="Normal"/>
              <w:widowControl/>
              <w:tabs>
                <w:tab w:val="clear" w:pos="720"/>
                <w:tab w:val="left" w:pos="2412" w:leader="none"/>
              </w:tabs>
              <w:ind w:start="1962" w:end="0"/>
              <w:rPr>
                <w:sz w:val="22"/>
              </w:rPr>
            </w:pPr>
            <w:r>
              <w:rPr>
                <w:sz w:val="22"/>
              </w:rPr>
              <w:t>Houston, TX 77002</w:t>
            </w:r>
          </w:p>
          <w:p>
            <w:pPr>
              <w:pStyle w:val="Normal"/>
              <w:widowControl/>
              <w:tabs>
                <w:tab w:val="clear" w:pos="720"/>
                <w:tab w:val="left" w:pos="2412" w:leader="none"/>
              </w:tabs>
              <w:ind w:start="1962" w:end="0"/>
              <w:rPr>
                <w:sz w:val="22"/>
              </w:rPr>
            </w:pPr>
            <w:r>
              <w:rPr>
                <w:sz w:val="22"/>
              </w:rPr>
              <w:t>Fax (713) 646-2379</w:t>
            </w:r>
          </w:p>
          <w:p>
            <w:pPr>
              <w:pStyle w:val="Normal"/>
              <w:widowContro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widowControl/>
        <w:rPr>
          <w:color w:val="FF0000"/>
          <w:sz w:val="22"/>
        </w:rPr>
      </w:pPr>
      <w:r>
        <w:rPr>
          <w:color w:val="FF0000"/>
          <w:sz w:val="22"/>
        </w:rPr>
        <w:t>[DATE]</w:t>
      </w:r>
    </w:p>
    <w:p>
      <w:pPr>
        <w:pStyle w:val="Normal"/>
        <w:widowControl/>
        <w:rPr>
          <w:color w:val="FF0000"/>
          <w:sz w:val="22"/>
        </w:rPr>
      </w:pPr>
      <w:r>
        <w:rPr>
          <w:color w:val="FF0000"/>
          <w:sz w:val="22"/>
        </w:rPr>
      </w:r>
    </w:p>
    <w:p>
      <w:pPr>
        <w:pStyle w:val="Normal"/>
        <w:widowControl/>
        <w:rPr>
          <w:color w:val="FF0000"/>
          <w:sz w:val="22"/>
        </w:rPr>
      </w:pPr>
      <w:r>
        <w:rPr>
          <w:color w:val="FF0000"/>
          <w:sz w:val="22"/>
        </w:rPr>
        <w:t>[CP NAME]</w:t>
      </w:r>
    </w:p>
    <w:p>
      <w:pPr>
        <w:pStyle w:val="Normal"/>
        <w:widowControl/>
        <w:rPr>
          <w:color w:val="FF0000"/>
          <w:sz w:val="22"/>
        </w:rPr>
      </w:pPr>
      <w:r>
        <w:rPr>
          <w:color w:val="FF0000"/>
          <w:sz w:val="22"/>
        </w:rPr>
        <w:t>[ADDRESS]</w:t>
      </w:r>
    </w:p>
    <w:p>
      <w:pPr>
        <w:pStyle w:val="Normal"/>
        <w:widowControl/>
        <w:rPr>
          <w:color w:val="FF0000"/>
          <w:sz w:val="22"/>
        </w:rPr>
      </w:pPr>
      <w:r>
        <w:rPr>
          <w:color w:val="FF0000"/>
          <w:sz w:val="22"/>
        </w:rPr>
      </w:r>
    </w:p>
    <w:p>
      <w:pPr>
        <w:pStyle w:val="Normal"/>
        <w:widowControl/>
        <w:rPr>
          <w:sz w:val="22"/>
        </w:rPr>
      </w:pPr>
      <w:r>
        <w:rPr>
          <w:sz w:val="22"/>
        </w:rPr>
        <w:t xml:space="preserve">Attention:  </w:t>
      </w:r>
      <w:r>
        <w:rPr>
          <w:color w:val="FF0000"/>
          <w:sz w:val="22"/>
        </w:rPr>
        <w:t>[             ]</w:t>
      </w:r>
    </w:p>
    <w:p>
      <w:pPr>
        <w:pStyle w:val="Normal"/>
        <w:widowControl/>
        <w:rPr>
          <w:sz w:val="22"/>
        </w:rPr>
      </w:pPr>
      <w:r>
        <w:rPr>
          <w:sz w:val="22"/>
        </w:rPr>
      </w:r>
    </w:p>
    <w:p>
      <w:pPr>
        <w:pStyle w:val="Normal"/>
        <w:widowControl/>
        <w:rPr>
          <w:sz w:val="22"/>
        </w:rPr>
      </w:pPr>
      <w:r>
        <w:rPr>
          <w:sz w:val="22"/>
        </w:rPr>
        <w:t xml:space="preserve">Fax No.: </w:t>
      </w:r>
      <w:r>
        <w:rPr>
          <w:color w:val="FF0000"/>
          <w:sz w:val="22"/>
        </w:rPr>
        <w:t>[             ]</w:t>
      </w:r>
    </w:p>
    <w:p>
      <w:pPr>
        <w:pStyle w:val="Normal"/>
        <w:widowControl/>
        <w:rPr>
          <w:sz w:val="22"/>
        </w:rPr>
      </w:pPr>
      <w:r>
        <w:rPr>
          <w:sz w:val="22"/>
        </w:rPr>
        <w:t xml:space="preserve">Telephone No.: </w:t>
      </w:r>
      <w:r>
        <w:rPr>
          <w:color w:val="FF0000"/>
          <w:sz w:val="22"/>
        </w:rPr>
        <w:t>[             ]</w:t>
      </w:r>
    </w:p>
    <w:p>
      <w:pPr>
        <w:pStyle w:val="Normal"/>
        <w:widowControl/>
        <w:rPr>
          <w:sz w:val="22"/>
        </w:rPr>
      </w:pPr>
      <w:r>
        <w:rPr>
          <w:sz w:val="22"/>
        </w:rPr>
      </w:r>
    </w:p>
    <w:p>
      <w:pPr>
        <w:pStyle w:val="Normal"/>
        <w:widowControl/>
        <w:rPr>
          <w:color w:val="000000"/>
          <w:sz w:val="22"/>
        </w:rPr>
      </w:pPr>
      <w:r>
        <w:rPr>
          <w:color w:val="000000"/>
          <w:sz w:val="22"/>
        </w:rPr>
      </w:r>
    </w:p>
    <w:p>
      <w:pPr>
        <w:pStyle w:val="Normal"/>
        <w:widowControl/>
        <w:jc w:val="both"/>
        <w:rPr>
          <w:b/>
        </w:rPr>
      </w:pPr>
      <w:r>
        <w:rPr>
          <w:b/>
          <w:color w:val="000000"/>
          <w:sz w:val="22"/>
        </w:rPr>
        <w:t>Re:</w:t>
        <w:tab/>
        <w:t xml:space="preserve">WEATHER TRANSACTION -- EESI Contract No. </w:t>
      </w:r>
      <w:r>
        <w:rPr>
          <w:b/>
          <w:color w:val="FF0000"/>
          <w:sz w:val="22"/>
        </w:rPr>
        <w:t>[             ]</w:t>
      </w:r>
    </w:p>
    <w:p>
      <w:pPr>
        <w:pStyle w:val="Normal"/>
        <w:widowControl/>
        <w:jc w:val="both"/>
        <w:rPr>
          <w:b/>
        </w:rPr>
      </w:pPr>
      <w:r>
        <w:rPr>
          <w:b/>
        </w:rPr>
      </w:r>
    </w:p>
    <w:p>
      <w:pPr>
        <w:pStyle w:val="Normal"/>
        <w:widowControl/>
        <w:jc w:val="both"/>
        <w:rPr>
          <w:sz w:val="22"/>
        </w:rPr>
      </w:pPr>
      <w:r>
        <w:rPr>
          <w:color w:val="000000"/>
          <w:sz w:val="22"/>
        </w:rPr>
        <w:t>Dear Sirs:</w:t>
      </w:r>
    </w:p>
    <w:p>
      <w:pPr>
        <w:pStyle w:val="Normal"/>
        <w:widowControl/>
        <w:jc w:val="both"/>
        <w:rPr>
          <w:sz w:val="22"/>
        </w:rPr>
      </w:pPr>
      <w:r>
        <w:rPr>
          <w:sz w:val="22"/>
        </w:rPr>
      </w:r>
    </w:p>
    <w:p>
      <w:pPr>
        <w:pStyle w:val="Normal"/>
        <w:widowControl/>
        <w:jc w:val="both"/>
        <w:rPr/>
      </w:pPr>
      <w:r>
        <w:rPr>
          <w:sz w:val="22"/>
        </w:rPr>
        <w:t>The purpose of this letter agreement (together with the General Terms and Conditions of Confirmation as set forth in Annex A and any other attachments hereto, collectively the "</w:t>
      </w:r>
      <w:r>
        <w:rPr>
          <w:sz w:val="22"/>
          <w:u w:val="single"/>
        </w:rPr>
        <w:t>Confirmation</w:t>
      </w:r>
      <w:r>
        <w:rPr>
          <w:sz w:val="22"/>
        </w:rPr>
        <w:t xml:space="preserve">") is to confirm the terms and conditions of the transaction entered into between </w:t>
      </w:r>
      <w:r>
        <w:rPr>
          <w:color w:val="FF0000"/>
          <w:sz w:val="22"/>
        </w:rPr>
        <w:t>[CP NAME]</w:t>
      </w:r>
      <w:r>
        <w:rPr>
          <w:sz w:val="22"/>
        </w:rPr>
        <w:t xml:space="preserve"> ("</w:t>
      </w:r>
      <w:r>
        <w:rPr>
          <w:sz w:val="22"/>
          <w:u w:val="single"/>
        </w:rPr>
        <w:t>Counterparty</w:t>
      </w:r>
      <w:r>
        <w:rPr>
          <w:sz w:val="22"/>
        </w:rPr>
        <w:t>") and Enron Energy Services, Inc. ("</w:t>
      </w:r>
      <w:r>
        <w:rPr>
          <w:sz w:val="22"/>
          <w:u w:val="single"/>
        </w:rPr>
        <w:t>EESI</w:t>
      </w:r>
      <w:r>
        <w:rPr>
          <w:sz w:val="22"/>
        </w:rPr>
        <w:t>") on the Trade Date specified below (the "</w:t>
      </w:r>
      <w:r>
        <w:rPr>
          <w:sz w:val="22"/>
          <w:u w:val="single"/>
        </w:rPr>
        <w:t>Transaction</w:t>
      </w:r>
      <w:r>
        <w:rPr>
          <w:sz w:val="22"/>
        </w:rPr>
        <w:t>").</w:t>
      </w:r>
      <w:r>
        <w:rPr>
          <w:strike/>
          <w:sz w:val="22"/>
        </w:rPr>
        <w:t>{ Counterparty and EESI may be referred to herein individually as a "Party" and, collectively, as the "Parties".}</w:t>
      </w:r>
      <w:r>
        <w:rPr>
          <w:sz w:val="22"/>
        </w:rPr>
        <w:t xml:space="preserve"> Counterparty and EESI may be referred to herein individually as a "</w:t>
      </w:r>
      <w:r>
        <w:rPr>
          <w:sz w:val="22"/>
          <w:u w:val="single"/>
        </w:rPr>
        <w:t>Party</w:t>
      </w:r>
      <w:r>
        <w:rPr>
          <w:sz w:val="22"/>
        </w:rPr>
        <w:t>" and, collectively, as the "</w:t>
      </w:r>
      <w:r>
        <w:rPr>
          <w:sz w:val="22"/>
          <w:u w:val="single"/>
        </w:rPr>
        <w:t>Parties</w:t>
      </w:r>
      <w:r>
        <w:rPr>
          <w:sz w:val="22"/>
        </w:rPr>
        <w:t>". The terms of the particular Transaction to which this Confirmation relates are as follows:</w:t>
      </w:r>
    </w:p>
    <w:p>
      <w:pPr>
        <w:pStyle w:val="Normal"/>
        <w:widowControl/>
        <w:rPr>
          <w:b/>
          <w:sz w:val="22"/>
        </w:rPr>
      </w:pPr>
      <w:r>
        <w:rPr>
          <w:b/>
          <w:sz w:val="22"/>
        </w:rPr>
      </w:r>
    </w:p>
    <w:p>
      <w:pPr>
        <w:pStyle w:val="Normal"/>
        <w:widowControl/>
        <w:rPr>
          <w:sz w:val="22"/>
        </w:rPr>
      </w:pPr>
      <w:r>
        <w:rPr>
          <w:b/>
          <w:sz w:val="22"/>
        </w:rPr>
        <w:t>General Terms:</w:t>
      </w:r>
    </w:p>
    <w:p>
      <w:pPr>
        <w:pStyle w:val="Normal"/>
        <w:widowContro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168"/>
        <w:gridCol w:w="6390"/>
        <w:gridCol w:w="18"/>
      </w:tblGrid>
      <w:tr>
        <w:trPr/>
        <w:tc>
          <w:tcPr>
            <w:tcW w:w="3168" w:type="dxa"/>
            <w:tcBorders/>
          </w:tcPr>
          <w:p>
            <w:pPr>
              <w:pStyle w:val="Normal"/>
              <w:widowControl/>
              <w:jc w:val="both"/>
              <w:rPr/>
            </w:pPr>
            <w:r>
              <w:rPr/>
              <w:t>Transaction Type:</w:t>
            </w:r>
          </w:p>
        </w:tc>
        <w:tc>
          <w:tcPr>
            <w:tcW w:w="6408" w:type="dxa"/>
            <w:tcBorders/>
          </w:tcPr>
          <w:p>
            <w:pPr>
              <w:pStyle w:val="Normal"/>
              <w:widowControl/>
              <w:jc w:val="both"/>
              <w:rPr/>
            </w:pPr>
            <w:r>
              <w:rPr/>
              <w:t>Snowfall Cap</w:t>
            </w:r>
          </w:p>
        </w:tc>
      </w:tr>
      <w:tr>
        <w:trPr/>
        <w:tc>
          <w:tcPr>
            <w:tcW w:w="3168" w:type="dxa"/>
            <w:tcBorders/>
          </w:tcPr>
          <w:p>
            <w:pPr>
              <w:pStyle w:val="Normal"/>
              <w:widowControl/>
              <w:snapToGrid w:val="false"/>
              <w:jc w:val="both"/>
              <w:rPr/>
            </w:pPr>
            <w:r>
              <w:rPr/>
            </w:r>
          </w:p>
        </w:tc>
        <w:tc>
          <w:tcPr>
            <w:tcW w:w="6408" w:type="dxa"/>
            <w:tcBorders/>
          </w:tcPr>
          <w:p>
            <w:pPr>
              <w:pStyle w:val="Normal"/>
              <w:widowControl/>
              <w:snapToGrid w:val="false"/>
              <w:jc w:val="both"/>
              <w:rPr/>
            </w:pPr>
            <w:r>
              <w:rPr/>
            </w:r>
          </w:p>
        </w:tc>
      </w:tr>
      <w:tr>
        <w:trPr/>
        <w:tc>
          <w:tcPr>
            <w:tcW w:w="3168" w:type="dxa"/>
            <w:tcBorders/>
          </w:tcPr>
          <w:p>
            <w:pPr>
              <w:pStyle w:val="Normal"/>
              <w:widowControl/>
              <w:jc w:val="both"/>
              <w:rPr/>
            </w:pPr>
            <w:r>
              <w:rPr/>
              <w:t>Notional Amount:</w:t>
            </w:r>
          </w:p>
        </w:tc>
        <w:tc>
          <w:tcPr>
            <w:tcW w:w="6408" w:type="dxa"/>
            <w:tcBorders/>
          </w:tcPr>
          <w:p>
            <w:pPr>
              <w:pStyle w:val="Normal"/>
              <w:widowControl/>
              <w:jc w:val="both"/>
              <w:rPr/>
            </w:pPr>
            <w:r>
              <w:rPr/>
              <w:t>$15,000 per 1/10 inch</w:t>
            </w:r>
          </w:p>
        </w:tc>
      </w:tr>
      <w:tr>
        <w:trPr/>
        <w:tc>
          <w:tcPr>
            <w:tcW w:w="3168" w:type="dxa"/>
            <w:tcBorders/>
          </w:tcPr>
          <w:p>
            <w:pPr>
              <w:pStyle w:val="Normal"/>
              <w:widowControl/>
              <w:snapToGrid w:val="false"/>
              <w:jc w:val="both"/>
              <w:rPr/>
            </w:pPr>
            <w:r>
              <w:rPr/>
            </w:r>
          </w:p>
        </w:tc>
        <w:tc>
          <w:tcPr>
            <w:tcW w:w="6408" w:type="dxa"/>
            <w:tcBorders/>
          </w:tcPr>
          <w:p>
            <w:pPr>
              <w:pStyle w:val="Normal"/>
              <w:widowControl/>
              <w:snapToGrid w:val="false"/>
              <w:jc w:val="both"/>
              <w:rPr/>
            </w:pPr>
            <w:r>
              <w:rPr/>
            </w:r>
          </w:p>
        </w:tc>
      </w:tr>
      <w:tr>
        <w:trPr/>
        <w:tc>
          <w:tcPr>
            <w:tcW w:w="3168" w:type="dxa"/>
            <w:tcBorders/>
          </w:tcPr>
          <w:p>
            <w:pPr>
              <w:pStyle w:val="Normal"/>
              <w:widowControl/>
              <w:jc w:val="both"/>
              <w:rPr/>
            </w:pPr>
            <w:r>
              <w:rPr/>
              <w:t>Trade Date:</w:t>
            </w:r>
          </w:p>
        </w:tc>
        <w:tc>
          <w:tcPr>
            <w:tcW w:w="6408" w:type="dxa"/>
            <w:tcBorders/>
          </w:tcPr>
          <w:p>
            <w:pPr>
              <w:pStyle w:val="Normal"/>
              <w:widowControl/>
              <w:jc w:val="both"/>
              <w:rPr/>
            </w:pPr>
            <w:r>
              <w:rPr/>
              <w:t>[             ]</w:t>
            </w:r>
          </w:p>
        </w:tc>
      </w:tr>
      <w:tr>
        <w:trPr/>
        <w:tc>
          <w:tcPr>
            <w:tcW w:w="3168" w:type="dxa"/>
            <w:tcBorders/>
          </w:tcPr>
          <w:p>
            <w:pPr>
              <w:pStyle w:val="Normal"/>
              <w:widowControl/>
              <w:snapToGrid w:val="false"/>
              <w:jc w:val="both"/>
              <w:rPr/>
            </w:pPr>
            <w:r>
              <w:rPr/>
            </w:r>
          </w:p>
        </w:tc>
        <w:tc>
          <w:tcPr>
            <w:tcW w:w="6408" w:type="dxa"/>
            <w:tcBorders/>
          </w:tcPr>
          <w:p>
            <w:pPr>
              <w:pStyle w:val="Normal"/>
              <w:widowControl/>
              <w:snapToGrid w:val="false"/>
              <w:jc w:val="both"/>
              <w:rPr/>
            </w:pPr>
            <w:r>
              <w:rPr/>
            </w:r>
          </w:p>
        </w:tc>
      </w:tr>
      <w:tr>
        <w:trPr/>
        <w:tc>
          <w:tcPr>
            <w:tcW w:w="3168" w:type="dxa"/>
            <w:tcBorders/>
          </w:tcPr>
          <w:p>
            <w:pPr>
              <w:pStyle w:val="Normal"/>
              <w:widowControl/>
              <w:jc w:val="both"/>
              <w:rPr/>
            </w:pPr>
            <w:r>
              <w:rPr/>
              <w:t>Effective Date:</w:t>
            </w:r>
          </w:p>
        </w:tc>
        <w:tc>
          <w:tcPr>
            <w:tcW w:w="6408" w:type="dxa"/>
            <w:tcBorders/>
          </w:tcPr>
          <w:p>
            <w:pPr>
              <w:pStyle w:val="Normal"/>
              <w:widowControl/>
              <w:jc w:val="both"/>
              <w:rPr/>
            </w:pPr>
            <w:r>
              <w:rPr/>
              <w:t>[October 1, 2001]</w:t>
            </w:r>
          </w:p>
        </w:tc>
      </w:tr>
      <w:tr>
        <w:trPr/>
        <w:tc>
          <w:tcPr>
            <w:tcW w:w="3168" w:type="dxa"/>
            <w:tcBorders/>
          </w:tcPr>
          <w:p>
            <w:pPr>
              <w:pStyle w:val="Normal"/>
              <w:widowControl/>
              <w:snapToGrid w:val="false"/>
              <w:jc w:val="both"/>
              <w:rPr/>
            </w:pPr>
            <w:r>
              <w:rPr/>
            </w:r>
          </w:p>
        </w:tc>
        <w:tc>
          <w:tcPr>
            <w:tcW w:w="6408" w:type="dxa"/>
            <w:tcBorders/>
          </w:tcPr>
          <w:p>
            <w:pPr>
              <w:pStyle w:val="Normal"/>
              <w:widowControl/>
              <w:snapToGrid w:val="false"/>
              <w:jc w:val="both"/>
              <w:rPr/>
            </w:pPr>
            <w:r>
              <w:rPr/>
            </w:r>
          </w:p>
        </w:tc>
      </w:tr>
      <w:tr>
        <w:trPr/>
        <w:tc>
          <w:tcPr>
            <w:tcW w:w="3168" w:type="dxa"/>
            <w:tcBorders/>
          </w:tcPr>
          <w:p>
            <w:pPr>
              <w:pStyle w:val="Normal"/>
              <w:widowControl/>
              <w:jc w:val="both"/>
              <w:rPr/>
            </w:pPr>
            <w:r>
              <w:rPr/>
              <w:t>Termination Date:</w:t>
            </w:r>
          </w:p>
        </w:tc>
        <w:tc>
          <w:tcPr>
            <w:tcW w:w="6408" w:type="dxa"/>
            <w:tcBorders/>
          </w:tcPr>
          <w:p>
            <w:pPr>
              <w:pStyle w:val="Normal"/>
              <w:widowControl/>
              <w:jc w:val="both"/>
              <w:rPr/>
            </w:pPr>
            <w:r>
              <w:rPr/>
              <w:t>[April 30, 20_ _ ]</w:t>
            </w:r>
          </w:p>
        </w:tc>
      </w:tr>
      <w:tr>
        <w:trPr/>
        <w:tc>
          <w:tcPr>
            <w:tcW w:w="3168" w:type="dxa"/>
            <w:tcBorders/>
          </w:tcPr>
          <w:p>
            <w:pPr>
              <w:pStyle w:val="Normal"/>
              <w:widowControl/>
              <w:snapToGrid w:val="false"/>
              <w:jc w:val="both"/>
              <w:rPr/>
            </w:pPr>
            <w:r>
              <w:rPr/>
            </w:r>
          </w:p>
          <w:p>
            <w:pPr>
              <w:pStyle w:val="Normal"/>
              <w:widowControl/>
              <w:jc w:val="both"/>
              <w:rPr/>
            </w:pPr>
            <w:r>
              <w:rPr/>
              <w:t>Premium Payment Details:</w:t>
            </w:r>
          </w:p>
          <w:p>
            <w:pPr>
              <w:pStyle w:val="Normal"/>
              <w:widowControl/>
              <w:jc w:val="both"/>
              <w:rPr/>
            </w:pPr>
            <w:r>
              <w:rPr/>
            </w:r>
          </w:p>
          <w:p>
            <w:pPr>
              <w:pStyle w:val="Normal"/>
              <w:widowControl/>
              <w:jc w:val="both"/>
              <w:rPr/>
            </w:pPr>
            <w:r>
              <w:rPr/>
            </w:r>
          </w:p>
        </w:tc>
        <w:tc>
          <w:tcPr>
            <w:tcW w:w="6408" w:type="dxa"/>
            <w:tcBorders/>
          </w:tcPr>
          <w:p>
            <w:pPr>
              <w:pStyle w:val="Normal"/>
              <w:widowControl/>
              <w:snapToGrid w:val="false"/>
              <w:jc w:val="both"/>
              <w:rPr/>
            </w:pPr>
            <w:r>
              <w:rPr/>
            </w:r>
          </w:p>
          <w:p>
            <w:pPr>
              <w:pStyle w:val="Normal"/>
              <w:widowControl/>
              <w:spacing w:before="0" w:after="120"/>
              <w:jc w:val="both"/>
              <w:rPr/>
            </w:pPr>
            <w:r>
              <w:rPr/>
              <w:t>Counterparty shall pay EESI [$             ] (the "</w:t>
            </w:r>
            <w:r>
              <w:rPr>
                <w:u w:val="single"/>
              </w:rPr>
              <w:t>Premium</w:t>
            </w:r>
            <w:r>
              <w:rPr/>
              <w:t>") two Business Days after this Confirmation has been duly executed by both Parties.</w:t>
            </w:r>
          </w:p>
        </w:tc>
      </w:tr>
      <w:tr>
        <w:trPr/>
        <w:tc>
          <w:tcPr>
            <w:tcW w:w="3168" w:type="dxa"/>
            <w:tcBorders/>
          </w:tcPr>
          <w:p>
            <w:pPr>
              <w:pStyle w:val="Normal"/>
              <w:widowControl/>
              <w:jc w:val="both"/>
              <w:rPr/>
            </w:pPr>
            <w:r>
              <w:rPr/>
              <w:t>Exercise:</w:t>
            </w:r>
          </w:p>
        </w:tc>
        <w:tc>
          <w:tcPr>
            <w:tcW w:w="6408" w:type="dxa"/>
            <w:tcBorders/>
          </w:tcPr>
          <w:p>
            <w:pPr>
              <w:pStyle w:val="Normal"/>
              <w:widowControl/>
              <w:jc w:val="both"/>
              <w:rPr/>
            </w:pPr>
            <w:r>
              <w:rPr/>
              <w:t>Automatic Exercise is applicable.</w:t>
            </w:r>
          </w:p>
          <w:p>
            <w:pPr>
              <w:pStyle w:val="Normal"/>
              <w:widowControl/>
              <w:jc w:val="both"/>
              <w:rPr/>
            </w:pPr>
            <w:r>
              <w:rPr/>
            </w:r>
          </w:p>
        </w:tc>
      </w:tr>
      <w:tr>
        <w:trPr/>
        <w:tc>
          <w:tcPr>
            <w:tcW w:w="3168" w:type="dxa"/>
            <w:tcBorders/>
          </w:tcPr>
          <w:p>
            <w:pPr>
              <w:pStyle w:val="Normal"/>
              <w:widowControl/>
              <w:jc w:val="both"/>
              <w:rPr/>
            </w:pPr>
            <w:r>
              <w:rPr/>
              <w:t>Determination Period:</w:t>
            </w:r>
          </w:p>
        </w:tc>
        <w:tc>
          <w:tcPr>
            <w:tcW w:w="6408" w:type="dxa"/>
            <w:tcBorders/>
          </w:tcPr>
          <w:p>
            <w:pPr>
              <w:pStyle w:val="Normal"/>
              <w:widowControl/>
              <w:jc w:val="both"/>
              <w:rPr/>
            </w:pPr>
            <w:r>
              <w:rPr/>
              <w:t xml:space="preserve">Each successive seven month period from October 1 through the following April 30, excluding Monday through Wednesday of each week during the Determination Period, with the first Determination Period beginning on October 1, 2001. </w:t>
            </w:r>
          </w:p>
        </w:tc>
      </w:tr>
      <w:tr>
        <w:trPr/>
        <w:tc>
          <w:tcPr>
            <w:tcW w:w="3168" w:type="dxa"/>
            <w:tcBorders/>
          </w:tcPr>
          <w:p>
            <w:pPr>
              <w:pStyle w:val="Normal"/>
              <w:widowControl/>
              <w:snapToGrid w:val="false"/>
              <w:jc w:val="both"/>
              <w:rPr>
                <w:color w:val="0000FF"/>
              </w:rPr>
            </w:pPr>
            <w:r>
              <w:rPr>
                <w:color w:val="0000FF"/>
              </w:rPr>
            </w:r>
          </w:p>
        </w:tc>
        <w:tc>
          <w:tcPr>
            <w:tcW w:w="6408" w:type="dxa"/>
            <w:tcBorders/>
          </w:tcPr>
          <w:p>
            <w:pPr>
              <w:pStyle w:val="Normal"/>
              <w:widowControl/>
              <w:snapToGrid w:val="false"/>
              <w:jc w:val="both"/>
              <w:rPr/>
            </w:pPr>
            <w:r>
              <w:rPr/>
            </w:r>
          </w:p>
        </w:tc>
      </w:tr>
      <w:tr>
        <w:trPr/>
        <w:tc>
          <w:tcPr>
            <w:tcW w:w="3168" w:type="dxa"/>
            <w:tcBorders/>
          </w:tcPr>
          <w:p>
            <w:pPr>
              <w:pStyle w:val="Normal"/>
              <w:widowControl/>
              <w:jc w:val="both"/>
              <w:rPr/>
            </w:pPr>
            <w:r>
              <w:rPr/>
              <w:t>Payment Date(s):</w:t>
            </w:r>
          </w:p>
        </w:tc>
        <w:tc>
          <w:tcPr>
            <w:tcW w:w="6408" w:type="dxa"/>
            <w:tcBorders/>
          </w:tcPr>
          <w:p>
            <w:pPr>
              <w:pStyle w:val="Normal"/>
              <w:widowControl/>
              <w:jc w:val="both"/>
              <w:rPr/>
            </w:pPr>
            <w:r>
              <w:rPr/>
              <w:t>The fifth Business Day after the Floating Amount for the Determination Period is determinable,</w:t>
            </w:r>
            <w:r>
              <w:rPr>
                <w:b/>
              </w:rPr>
              <w:t xml:space="preserve"> </w:t>
            </w:r>
            <w:r>
              <w:rPr>
                <w:u w:val="single"/>
              </w:rPr>
              <w:t>provided</w:t>
            </w:r>
            <w:r>
              <w:rPr/>
              <w:t xml:space="preserve">, </w:t>
            </w:r>
            <w:r>
              <w:rPr>
                <w:u w:val="single"/>
              </w:rPr>
              <w:t>however</w:t>
            </w:r>
            <w:r>
              <w:rPr/>
              <w:t xml:space="preserve">, that a one time adjustment in the amount paid will be made by the appropriate </w:t>
            </w:r>
            <w:r>
              <w:rPr>
                <w:strike/>
              </w:rPr>
              <w:t>{Party}</w:t>
            </w:r>
            <w:r>
              <w:rPr/>
              <w:t>Party, if applicable, if the National Climatic Data Center ("</w:t>
            </w:r>
            <w:r>
              <w:rPr>
                <w:u w:val="single"/>
              </w:rPr>
              <w:t>NCDC</w:t>
            </w:r>
            <w:r>
              <w:rPr/>
              <w:t>") makes any correction or adjustment to the reported level of Daily Snowfall within 95 days of the end of the Determination Period for any day within the Determination Period.</w:t>
            </w:r>
          </w:p>
          <w:p>
            <w:pPr>
              <w:pStyle w:val="Normal"/>
              <w:widowControl/>
              <w:jc w:val="both"/>
              <w:rPr/>
            </w:pPr>
            <w:r>
              <w:rPr/>
            </w:r>
          </w:p>
        </w:tc>
      </w:tr>
      <w:tr>
        <w:trPr/>
        <w:tc>
          <w:tcPr>
            <w:tcW w:w="3168" w:type="dxa"/>
            <w:tcBorders/>
          </w:tcPr>
          <w:p>
            <w:pPr>
              <w:pStyle w:val="Normal"/>
              <w:widowControl/>
              <w:jc w:val="both"/>
              <w:rPr/>
            </w:pPr>
            <w:r>
              <w:rPr/>
              <w:t>Fixed Amount Payer:</w:t>
            </w:r>
          </w:p>
          <w:p>
            <w:pPr>
              <w:pStyle w:val="Normal"/>
              <w:widowControl/>
              <w:jc w:val="both"/>
              <w:rPr/>
            </w:pPr>
            <w:r>
              <w:rPr/>
              <w:t>(Buyer of the Option)</w:t>
            </w:r>
          </w:p>
        </w:tc>
        <w:tc>
          <w:tcPr>
            <w:tcW w:w="6408" w:type="dxa"/>
            <w:tcBorders/>
          </w:tcPr>
          <w:p>
            <w:pPr>
              <w:pStyle w:val="Normal"/>
              <w:widowControl/>
              <w:jc w:val="both"/>
              <w:rPr/>
            </w:pPr>
            <w:r>
              <w:rPr/>
              <w:t>Counterparty</w:t>
            </w:r>
          </w:p>
        </w:tc>
      </w:tr>
      <w:tr>
        <w:trPr/>
        <w:tc>
          <w:tcPr>
            <w:tcW w:w="3168" w:type="dxa"/>
            <w:tcBorders/>
          </w:tcPr>
          <w:p>
            <w:pPr>
              <w:pStyle w:val="Normal"/>
              <w:widowControl/>
              <w:snapToGrid w:val="false"/>
              <w:jc w:val="both"/>
              <w:rPr/>
            </w:pPr>
            <w:r>
              <w:rPr/>
            </w:r>
          </w:p>
        </w:tc>
        <w:tc>
          <w:tcPr>
            <w:tcW w:w="6408" w:type="dxa"/>
            <w:tcBorders/>
          </w:tcPr>
          <w:p>
            <w:pPr>
              <w:pStyle w:val="Normal"/>
              <w:widowControl/>
              <w:snapToGrid w:val="false"/>
              <w:jc w:val="both"/>
              <w:rPr/>
            </w:pPr>
            <w:r>
              <w:rPr/>
            </w:r>
          </w:p>
        </w:tc>
      </w:tr>
      <w:tr>
        <w:trPr/>
        <w:tc>
          <w:tcPr>
            <w:tcW w:w="3168" w:type="dxa"/>
            <w:tcBorders/>
          </w:tcPr>
          <w:p>
            <w:pPr>
              <w:pStyle w:val="Normal"/>
              <w:widowControl/>
              <w:jc w:val="both"/>
              <w:rPr/>
            </w:pPr>
            <w:r>
              <w:rPr/>
              <w:t>Floating Amount Payer:</w:t>
            </w:r>
          </w:p>
          <w:p>
            <w:pPr>
              <w:pStyle w:val="Normal"/>
              <w:widowControl/>
              <w:jc w:val="both"/>
              <w:rPr/>
            </w:pPr>
            <w:r>
              <w:rPr/>
              <w:t>(Seller of the Option)</w:t>
            </w:r>
          </w:p>
        </w:tc>
        <w:tc>
          <w:tcPr>
            <w:tcW w:w="6408" w:type="dxa"/>
            <w:tcBorders/>
          </w:tcPr>
          <w:p>
            <w:pPr>
              <w:pStyle w:val="Normal"/>
              <w:widowControl/>
              <w:jc w:val="both"/>
              <w:rPr/>
            </w:pPr>
            <w:r>
              <w:rPr/>
              <w:t>EESI</w:t>
            </w:r>
          </w:p>
        </w:tc>
      </w:tr>
      <w:tr>
        <w:trPr/>
        <w:tc>
          <w:tcPr>
            <w:tcW w:w="3168" w:type="dxa"/>
            <w:tcBorders/>
          </w:tcPr>
          <w:p>
            <w:pPr>
              <w:pStyle w:val="Normal"/>
              <w:widowControl/>
              <w:snapToGrid w:val="false"/>
              <w:jc w:val="both"/>
              <w:rPr/>
            </w:pPr>
            <w:r>
              <w:rPr/>
            </w:r>
          </w:p>
        </w:tc>
        <w:tc>
          <w:tcPr>
            <w:tcW w:w="6408" w:type="dxa"/>
            <w:tcBorders/>
          </w:tcPr>
          <w:p>
            <w:pPr>
              <w:pStyle w:val="Normal"/>
              <w:widowControl/>
              <w:snapToGrid w:val="false"/>
              <w:jc w:val="both"/>
              <w:rPr/>
            </w:pPr>
            <w:r>
              <w:rPr/>
            </w:r>
          </w:p>
        </w:tc>
      </w:tr>
      <w:tr>
        <w:trPr/>
        <w:tc>
          <w:tcPr>
            <w:tcW w:w="3168" w:type="dxa"/>
            <w:tcBorders/>
          </w:tcPr>
          <w:p>
            <w:pPr>
              <w:pStyle w:val="Normal"/>
              <w:widowControl/>
              <w:jc w:val="both"/>
              <w:rPr/>
            </w:pPr>
            <w:r>
              <w:rPr/>
              <w:t>Strike Amount:</w:t>
            </w:r>
          </w:p>
        </w:tc>
        <w:tc>
          <w:tcPr>
            <w:tcW w:w="6408" w:type="dxa"/>
            <w:tcBorders/>
          </w:tcPr>
          <w:p>
            <w:pPr>
              <w:pStyle w:val="Normal"/>
              <w:widowControl/>
              <w:jc w:val="both"/>
              <w:rPr/>
            </w:pPr>
            <w:r>
              <w:rPr/>
              <w:t xml:space="preserve">15 </w:t>
            </w:r>
            <w:r>
              <w:rPr>
                <w:color w:val="000000"/>
              </w:rPr>
              <w:t>inches of recorded snowfall at the RWS(s).</w:t>
            </w:r>
          </w:p>
        </w:tc>
      </w:tr>
      <w:tr>
        <w:trPr/>
        <w:tc>
          <w:tcPr>
            <w:tcW w:w="3168" w:type="dxa"/>
            <w:tcBorders/>
          </w:tcPr>
          <w:p>
            <w:pPr>
              <w:pStyle w:val="Normal"/>
              <w:widowControl/>
              <w:snapToGrid w:val="false"/>
              <w:jc w:val="both"/>
              <w:rPr/>
            </w:pPr>
            <w:r>
              <w:rPr/>
            </w:r>
          </w:p>
        </w:tc>
        <w:tc>
          <w:tcPr>
            <w:tcW w:w="6408" w:type="dxa"/>
            <w:tcBorders/>
          </w:tcPr>
          <w:p>
            <w:pPr>
              <w:pStyle w:val="Normal"/>
              <w:widowControl/>
              <w:snapToGrid w:val="false"/>
              <w:jc w:val="both"/>
              <w:rPr/>
            </w:pPr>
            <w:r>
              <w:rPr/>
            </w:r>
          </w:p>
        </w:tc>
      </w:tr>
      <w:tr>
        <w:trPr/>
        <w:tc>
          <w:tcPr>
            <w:tcW w:w="3168" w:type="dxa"/>
            <w:tcBorders/>
          </w:tcPr>
          <w:p>
            <w:pPr>
              <w:pStyle w:val="Normal"/>
              <w:widowControl/>
              <w:jc w:val="both"/>
              <w:rPr/>
            </w:pPr>
            <w:r>
              <w:rPr/>
              <w:t>Calculation of Daily Snowfall:</w:t>
            </w:r>
          </w:p>
        </w:tc>
        <w:tc>
          <w:tcPr>
            <w:tcW w:w="6408" w:type="dxa"/>
            <w:tcBorders/>
          </w:tcPr>
          <w:p>
            <w:pPr>
              <w:pStyle w:val="Normal"/>
              <w:widowControl/>
              <w:jc w:val="both"/>
              <w:rPr/>
            </w:pPr>
            <w:r>
              <w:rPr/>
              <w:t xml:space="preserve">The Daily Snowfall shall be the weighted sum of the non-rounded total amount of snowfall per day measured in tenths of inches by the NWS, as defined below, and reported by the NCDC for the RWS or, in the event of missing data from a RWS requiring use of FRWS data in accordance with this Confirmation, for its FRWS, each as defined below, weighted using the respective "Calculation Percentage" set forth next to each applicable RWS or FRWS; </w:t>
            </w:r>
            <w:r>
              <w:rPr>
                <w:u w:val="single"/>
              </w:rPr>
              <w:t>provided</w:t>
            </w:r>
            <w:r>
              <w:rPr/>
              <w:t xml:space="preserve">, </w:t>
            </w:r>
            <w:r>
              <w:rPr>
                <w:u w:val="single"/>
              </w:rPr>
              <w:t>however</w:t>
            </w:r>
            <w:r>
              <w:rPr/>
              <w:t xml:space="preserve">, that if on any day the level of snowfall for a RWS or a FRWS, as applicable, is designated "Trace", then the amount of snowfall for that day at such RWS or FRWS, as applicable, shall be equal to zero. For the avoidance of doubt, the term "day" as used in the context of Calculation of Daily Snowfall shall mean the 24 hour period starting at 12:00 a.m. local time on a calendar day (which may or may not be a Saturday, Sunday or public holiday). </w:t>
            </w:r>
          </w:p>
          <w:p>
            <w:pPr>
              <w:pStyle w:val="Normal"/>
              <w:widowControl/>
              <w:jc w:val="both"/>
              <w:rPr/>
            </w:pPr>
            <w:r>
              <w:rPr/>
            </w:r>
          </w:p>
          <w:p>
            <w:pPr>
              <w:pStyle w:val="Normal"/>
              <w:widowControl/>
              <w:jc w:val="both"/>
              <w:rPr/>
            </w:pPr>
            <w:r>
              <w:rPr/>
              <w:t>Inches of Daily Snowfall shall be rounded to two decimal places for the calculation of the Floating Amount as follows:  if the third number after the decimal point is five (5) or greater then the second number after the decimal point number shall be increased by one (1), and if the third number after the decimal point is less than five (5) then the second number after the decimal point number shall remain unchanged.</w:t>
            </w:r>
          </w:p>
        </w:tc>
      </w:tr>
      <w:tr>
        <w:trPr/>
        <w:tc>
          <w:tcPr>
            <w:tcW w:w="3168" w:type="dxa"/>
            <w:tcBorders/>
          </w:tcPr>
          <w:p>
            <w:pPr>
              <w:pStyle w:val="Normal"/>
              <w:widowControl/>
              <w:snapToGrid w:val="false"/>
              <w:jc w:val="both"/>
              <w:rPr/>
            </w:pPr>
            <w:r>
              <w:rPr/>
            </w:r>
          </w:p>
        </w:tc>
        <w:tc>
          <w:tcPr>
            <w:tcW w:w="6408" w:type="dxa"/>
            <w:tcBorders/>
          </w:tcPr>
          <w:p>
            <w:pPr>
              <w:pStyle w:val="Normal"/>
              <w:widowControl/>
              <w:snapToGrid w:val="false"/>
              <w:jc w:val="both"/>
              <w:rPr/>
            </w:pPr>
            <w:r>
              <w:rPr/>
            </w:r>
          </w:p>
        </w:tc>
      </w:tr>
      <w:tr>
        <w:trPr/>
        <w:tc>
          <w:tcPr>
            <w:tcW w:w="3168" w:type="dxa"/>
            <w:tcBorders/>
          </w:tcPr>
          <w:p>
            <w:pPr>
              <w:pStyle w:val="Normal"/>
              <w:widowControl/>
              <w:jc w:val="both"/>
              <w:rPr/>
            </w:pPr>
            <w:r>
              <w:rPr/>
              <w:t>Floating Amount:</w:t>
            </w:r>
          </w:p>
        </w:tc>
        <w:tc>
          <w:tcPr>
            <w:tcW w:w="6408" w:type="dxa"/>
            <w:tcBorders/>
          </w:tcPr>
          <w:p>
            <w:pPr>
              <w:pStyle w:val="Normal"/>
              <w:widowControl/>
              <w:jc w:val="both"/>
              <w:rPr/>
            </w:pPr>
            <w:r>
              <w:rPr/>
              <w:t>The sum of the Daily Snowfall during the Determination Period.</w:t>
            </w:r>
          </w:p>
        </w:tc>
      </w:tr>
      <w:tr>
        <w:trPr/>
        <w:tc>
          <w:tcPr>
            <w:tcW w:w="3168" w:type="dxa"/>
            <w:tcBorders/>
          </w:tcPr>
          <w:p>
            <w:pPr>
              <w:pStyle w:val="Normal"/>
              <w:widowControl/>
              <w:snapToGrid w:val="false"/>
              <w:jc w:val="both"/>
              <w:rPr>
                <w:color w:val="0000FF"/>
              </w:rPr>
            </w:pPr>
            <w:r>
              <w:rPr>
                <w:color w:val="0000FF"/>
              </w:rPr>
            </w:r>
          </w:p>
        </w:tc>
        <w:tc>
          <w:tcPr>
            <w:tcW w:w="6408" w:type="dxa"/>
            <w:tcBorders/>
          </w:tcPr>
          <w:p>
            <w:pPr>
              <w:pStyle w:val="Normal"/>
              <w:widowControl/>
              <w:snapToGrid w:val="false"/>
              <w:jc w:val="both"/>
              <w:rPr/>
            </w:pPr>
            <w:r>
              <w:rPr/>
            </w:r>
          </w:p>
        </w:tc>
      </w:tr>
      <w:tr>
        <w:trPr/>
        <w:tc>
          <w:tcPr>
            <w:tcW w:w="3168" w:type="dxa"/>
            <w:tcBorders/>
          </w:tcPr>
          <w:p>
            <w:pPr>
              <w:pStyle w:val="Normal"/>
              <w:widowControl/>
              <w:jc w:val="both"/>
              <w:rPr/>
            </w:pPr>
            <w:r>
              <w:rPr/>
              <w:t>NWS:</w:t>
            </w:r>
          </w:p>
        </w:tc>
        <w:tc>
          <w:tcPr>
            <w:tcW w:w="6408" w:type="dxa"/>
            <w:tcBorders/>
          </w:tcPr>
          <w:p>
            <w:pPr>
              <w:pStyle w:val="Normal"/>
              <w:widowControl/>
              <w:jc w:val="both"/>
              <w:rPr/>
            </w:pPr>
            <w:r>
              <w:rPr/>
              <w:t>Shall mean the U.S.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widowControl/>
              <w:snapToGrid w:val="false"/>
              <w:jc w:val="both"/>
              <w:rPr/>
            </w:pPr>
            <w:r>
              <w:rPr/>
            </w:r>
          </w:p>
        </w:tc>
        <w:tc>
          <w:tcPr>
            <w:tcW w:w="6408" w:type="dxa"/>
            <w:tcBorders/>
          </w:tcPr>
          <w:p>
            <w:pPr>
              <w:pStyle w:val="Normal"/>
              <w:widowControl/>
              <w:snapToGrid w:val="false"/>
              <w:jc w:val="both"/>
              <w:rPr/>
            </w:pPr>
            <w:r>
              <w:rPr/>
            </w:r>
          </w:p>
        </w:tc>
      </w:tr>
      <w:tr>
        <w:trPr/>
        <w:tc>
          <w:tcPr>
            <w:tcW w:w="3168" w:type="dxa"/>
            <w:tcBorders/>
          </w:tcPr>
          <w:p>
            <w:pPr>
              <w:pStyle w:val="Normal"/>
              <w:widowControl/>
              <w:jc w:val="both"/>
              <w:rPr/>
            </w:pPr>
            <w:r>
              <w:rPr/>
              <w:t>Reference Weather Station</w:t>
            </w:r>
          </w:p>
          <w:p>
            <w:pPr>
              <w:pStyle w:val="Normal"/>
              <w:widowControl/>
              <w:jc w:val="both"/>
              <w:rPr/>
            </w:pPr>
            <w:r>
              <w:rPr/>
              <w:t>("RWS"):</w:t>
            </w:r>
          </w:p>
        </w:tc>
        <w:tc>
          <w:tcPr>
            <w:tcW w:w="6408" w:type="dxa"/>
            <w:tcBorders/>
          </w:tcPr>
          <w:p>
            <w:pPr>
              <w:pStyle w:val="Normal"/>
              <w:widowControl/>
              <w:tabs>
                <w:tab w:val="clear" w:pos="720"/>
                <w:tab w:val="left" w:pos="360" w:leader="none"/>
              </w:tabs>
              <w:ind w:hanging="360" w:start="360" w:end="0"/>
              <w:jc w:val="both"/>
              <w:rPr/>
            </w:pPr>
            <w:r>
              <w:rPr>
                <w:rFonts w:cs="Symbol" w:ascii="Symbol" w:hAnsi="Symbol"/>
              </w:rPr>
              <w:sym w:font="Symbol" w:char="f0b7"/>
            </w:r>
            <w:r>
              <w:rPr/>
              <w:t>9636</w:t>
            </w:r>
            <w:r>
              <w:rPr>
                <w:rFonts w:cs="Symbol" w:ascii="Symbol" w:hAnsi="Symbol"/>
              </w:rPr>
              <w:tab/>
            </w:r>
            <w:r>
              <w:rPr/>
              <w:t>Philadelphia International Airport, Philadelphia PA WBAN # 13739, Calculation Percentage 70%</w:t>
            </w:r>
          </w:p>
          <w:p>
            <w:pPr>
              <w:pStyle w:val="Normal"/>
              <w:widowControl/>
              <w:jc w:val="both"/>
              <w:rPr/>
            </w:pPr>
            <w:r>
              <w:rPr/>
            </w:r>
          </w:p>
          <w:p>
            <w:pPr>
              <w:pStyle w:val="Normal"/>
              <w:widowControl/>
              <w:tabs>
                <w:tab w:val="clear" w:pos="720"/>
                <w:tab w:val="left" w:pos="360" w:leader="none"/>
              </w:tabs>
              <w:ind w:hanging="360" w:start="360" w:end="0"/>
              <w:jc w:val="both"/>
              <w:rPr/>
            </w:pPr>
            <w:r>
              <w:rPr>
                <w:rFonts w:cs="Symbol" w:ascii="Symbol" w:hAnsi="Symbol"/>
              </w:rPr>
              <w:sym w:font="Symbol" w:char="f0b7"/>
            </w:r>
            <w:r>
              <w:rPr/>
              <w:t>19124</w:t>
            </w:r>
            <w:r>
              <w:rPr>
                <w:rFonts w:cs="Symbol" w:ascii="Symbol" w:hAnsi="Symbol"/>
              </w:rPr>
              <w:tab/>
            </w:r>
            <w:r>
              <w:rPr/>
              <w:t>La Guardia Airport, NY, NY WBAN #14732, Calculation Percentage 30%</w:t>
            </w:r>
          </w:p>
        </w:tc>
      </w:tr>
      <w:tr>
        <w:trPr/>
        <w:tc>
          <w:tcPr>
            <w:tcW w:w="3168" w:type="dxa"/>
            <w:tcBorders/>
          </w:tcPr>
          <w:p>
            <w:pPr>
              <w:pStyle w:val="Normal"/>
              <w:widowControl/>
              <w:snapToGrid w:val="false"/>
              <w:jc w:val="both"/>
              <w:rPr/>
            </w:pPr>
            <w:r>
              <w:rPr/>
            </w:r>
          </w:p>
        </w:tc>
        <w:tc>
          <w:tcPr>
            <w:tcW w:w="6408" w:type="dxa"/>
            <w:tcBorders/>
          </w:tcPr>
          <w:p>
            <w:pPr>
              <w:pStyle w:val="Normal"/>
              <w:widowControl/>
              <w:snapToGrid w:val="false"/>
              <w:jc w:val="both"/>
              <w:rPr/>
            </w:pPr>
            <w:r>
              <w:rPr/>
            </w:r>
          </w:p>
        </w:tc>
      </w:tr>
      <w:tr>
        <w:trPr/>
        <w:tc>
          <w:tcPr>
            <w:tcW w:w="3168" w:type="dxa"/>
            <w:tcBorders/>
          </w:tcPr>
          <w:p>
            <w:pPr>
              <w:pStyle w:val="Normal"/>
              <w:widowControl/>
              <w:jc w:val="both"/>
              <w:rPr/>
            </w:pPr>
            <w:r>
              <w:rPr/>
              <w:t>Fallback Reference Weather Station</w:t>
            </w:r>
          </w:p>
          <w:p>
            <w:pPr>
              <w:pStyle w:val="Normal"/>
              <w:widowControl/>
              <w:jc w:val="both"/>
              <w:rPr/>
            </w:pPr>
            <w:r>
              <w:rPr/>
              <w:t>("FRWS"):</w:t>
            </w:r>
          </w:p>
        </w:tc>
        <w:tc>
          <w:tcPr>
            <w:tcW w:w="6408" w:type="dxa"/>
            <w:tcBorders/>
          </w:tcPr>
          <w:p>
            <w:pPr>
              <w:pStyle w:val="Normal"/>
              <w:widowControl/>
              <w:tabs>
                <w:tab w:val="clear" w:pos="720"/>
                <w:tab w:val="left" w:pos="360" w:leader="none"/>
              </w:tabs>
              <w:ind w:hanging="360" w:start="360" w:end="0"/>
              <w:jc w:val="both"/>
              <w:rPr/>
            </w:pPr>
            <w:r>
              <w:rPr>
                <w:rFonts w:cs="Symbol" w:ascii="Symbol" w:hAnsi="Symbol"/>
              </w:rPr>
              <w:sym w:font="Symbol" w:char="f0b7"/>
            </w:r>
            <w:r>
              <w:rPr/>
              <w:t>30710</w:t>
            </w:r>
            <w:r>
              <w:rPr>
                <w:rFonts w:cs="Symbol" w:ascii="Symbol" w:hAnsi="Symbol"/>
              </w:rPr>
              <w:tab/>
            </w:r>
            <w:r>
              <w:rPr/>
              <w:t>Allentown Lehigh Valley International Airport, Allentown, PA, WBAN # 14737, Calculation Percentage 70%, shall be the FRWS for the Philadelphia International Airport RWS.</w:t>
            </w:r>
          </w:p>
          <w:p>
            <w:pPr>
              <w:pStyle w:val="Normal"/>
              <w:widowControl/>
              <w:jc w:val="both"/>
              <w:rPr/>
            </w:pPr>
            <w:r>
              <w:rPr/>
            </w:r>
          </w:p>
          <w:p>
            <w:pPr>
              <w:pStyle w:val="Normal"/>
              <w:widowControl/>
              <w:tabs>
                <w:tab w:val="clear" w:pos="720"/>
                <w:tab w:val="left" w:pos="360" w:leader="none"/>
              </w:tabs>
              <w:ind w:hanging="360" w:start="360" w:end="0"/>
              <w:jc w:val="both"/>
              <w:rPr/>
            </w:pPr>
            <w:r>
              <w:rPr>
                <w:rFonts w:cs="Symbol" w:ascii="Symbol" w:hAnsi="Symbol"/>
              </w:rPr>
              <w:sym w:font="Symbol" w:char="f0b7"/>
            </w:r>
            <w:r>
              <w:rPr/>
              <w:t>256</w:t>
            </w:r>
            <w:r>
              <w:rPr>
                <w:rFonts w:cs="Symbol" w:ascii="Symbol" w:hAnsi="Symbol"/>
              </w:rPr>
              <w:tab/>
            </w:r>
            <w:r>
              <w:rPr/>
              <w:t>New York J F Kennedy International Airport, NY, NY WBAN # 94789, Calculation Percentage 30%, shall be the FRWS for the La Guardia Airport.</w:t>
            </w:r>
          </w:p>
        </w:tc>
      </w:tr>
      <w:tr>
        <w:trPr/>
        <w:tc>
          <w:tcPr>
            <w:tcW w:w="3168" w:type="dxa"/>
            <w:tcBorders/>
          </w:tcPr>
          <w:p>
            <w:pPr>
              <w:pStyle w:val="Normal"/>
              <w:widowControl/>
              <w:snapToGrid w:val="false"/>
              <w:jc w:val="both"/>
              <w:rPr/>
            </w:pPr>
            <w:r>
              <w:rPr/>
            </w:r>
          </w:p>
        </w:tc>
        <w:tc>
          <w:tcPr>
            <w:tcW w:w="6408" w:type="dxa"/>
            <w:tcBorders/>
          </w:tcPr>
          <w:p>
            <w:pPr>
              <w:pStyle w:val="Normal"/>
              <w:widowControl/>
              <w:snapToGrid w:val="false"/>
              <w:jc w:val="both"/>
              <w:rPr/>
            </w:pPr>
            <w:r>
              <w:rPr/>
            </w:r>
          </w:p>
        </w:tc>
      </w:tr>
      <w:tr>
        <w:trPr/>
        <w:tc>
          <w:tcPr>
            <w:tcW w:w="3168" w:type="dxa"/>
            <w:tcBorders/>
          </w:tcPr>
          <w:p>
            <w:pPr>
              <w:pStyle w:val="Normal"/>
              <w:widowControl/>
              <w:tabs>
                <w:tab w:val="clear" w:pos="720"/>
                <w:tab w:val="left" w:pos="1350" w:leader="none"/>
                <w:tab w:val="left" w:pos="1440" w:leader="none"/>
              </w:tabs>
              <w:ind w:end="792"/>
              <w:rPr/>
            </w:pPr>
            <w:r>
              <w:rPr/>
              <w:t>Fallback Methodology  (Determination of Missing Data):</w:t>
            </w:r>
          </w:p>
        </w:tc>
        <w:tc>
          <w:tcPr>
            <w:tcW w:w="6408" w:type="dxa"/>
            <w:tcBorders/>
          </w:tcPr>
          <w:p>
            <w:pPr>
              <w:pStyle w:val="Normal"/>
              <w:widowControl/>
              <w:jc w:val="both"/>
              <w:rPr/>
            </w:pPr>
            <w:r>
              <w:rPr/>
              <w:t>In the event that, for any day</w:t>
            </w:r>
            <w:r>
              <w:rPr>
                <w:strike/>
              </w:rPr>
              <w:t>{(s)}</w:t>
            </w:r>
            <w:r>
              <w:rPr/>
              <w:t xml:space="preserve"> during the Determination Period (a "</w:t>
            </w:r>
            <w:r>
              <w:rPr>
                <w:u w:val="single"/>
              </w:rPr>
              <w:t>Missing Data Day</w:t>
            </w:r>
            <w:r>
              <w:rPr>
                <w:strike/>
              </w:rPr>
              <w:t>{(s)")}</w:t>
            </w:r>
            <w:r>
              <w:rPr>
                <w:b/>
              </w:rPr>
              <w:t>[")]</w:t>
            </w:r>
            <w:r>
              <w:rPr/>
              <w:t>, official data for the RWS is unavailable, the following paragraphs indicate how data for such Missing Data Day</w:t>
            </w:r>
            <w:r>
              <w:rPr>
                <w:strike/>
              </w:rPr>
              <w:t>{(s)}</w:t>
            </w:r>
            <w:r>
              <w:rPr/>
              <w:t xml:space="preserve"> shall be obtained for purposes of determining the Floating Amount:</w:t>
            </w:r>
          </w:p>
          <w:p>
            <w:pPr>
              <w:pStyle w:val="Normal"/>
              <w:widowControl/>
              <w:jc w:val="both"/>
              <w:rPr/>
            </w:pPr>
            <w:r>
              <w:rPr/>
            </w:r>
          </w:p>
          <w:p>
            <w:pPr>
              <w:pStyle w:val="Normal"/>
              <w:widowControl/>
              <w:tabs>
                <w:tab w:val="left" w:pos="720" w:leader="none"/>
              </w:tabs>
              <w:ind w:hanging="360" w:start="720" w:end="0"/>
              <w:jc w:val="both"/>
              <w:rPr/>
            </w:pPr>
            <w:r>
              <w:rPr/>
              <w:t>(a)</w:t>
              <w:tab/>
            </w:r>
            <w:r>
              <w:rPr>
                <w:b/>
                <w:u w:val="single"/>
              </w:rPr>
              <w:t>Less than 23 days of missing data at the RWS:</w:t>
            </w:r>
            <w:r>
              <w:rPr/>
              <w:t xml:space="preserve"> Should the NCDC fail to report a snowfall level for any RWS for any day during the Determination Period (up to a maximum total of 23 days) the snowfall level for each Missing Data Day shall be the average of the recorded daily snowfall levels measured during the Determination Period.</w:t>
            </w:r>
          </w:p>
          <w:p>
            <w:pPr>
              <w:pStyle w:val="Normal"/>
              <w:widowControl/>
              <w:tabs>
                <w:tab w:val="left" w:pos="720" w:leader="none"/>
              </w:tabs>
              <w:ind w:hanging="360" w:start="720" w:end="0"/>
              <w:jc w:val="both"/>
              <w:rPr/>
            </w:pPr>
            <w:r>
              <w:rPr/>
              <w:t>(b)</w:t>
              <w:tab/>
            </w:r>
            <w:r>
              <w:rPr>
                <w:b/>
                <w:u w:val="single"/>
              </w:rPr>
              <w:t>24 or more days of missing data at the RWS:</w:t>
            </w:r>
            <w:r>
              <w:rPr/>
              <w:t xml:space="preserve"> Should the NCDC fail to report snowfall levels for a RWS for 24 days or more during the Determination Period, then the Floating Amount shall be calculated with reference to the FRWS and a new Strike Amount of  [     ], if the FRWS is Allentown Lehigh Valley International Airport, Allentown, PA WBAN # 14737, or [          ], if the FRWS is New York J F Kennedy International Airport, NY, NY WBAN # 94789; </w:t>
            </w:r>
            <w:r>
              <w:rPr>
                <w:u w:val="single"/>
              </w:rPr>
              <w:t>provided</w:t>
            </w:r>
            <w:r>
              <w:rPr/>
              <w:t xml:space="preserve">, </w:t>
            </w:r>
            <w:r>
              <w:rPr>
                <w:u w:val="single"/>
              </w:rPr>
              <w:t>however</w:t>
            </w:r>
            <w:r>
              <w:rPr/>
              <w:t xml:space="preserve">, that, if snowfall level data is  missing for both RWSs thus requiring reference to both the Allentown Lehigh Valley International Airport FRWS and the New York J F Kennedy International Airport FRWS, then the new Strike Amount shall be [            ] </w:t>
            </w:r>
            <w:r>
              <w:rPr>
                <w:b/>
              </w:rPr>
              <w:t>[(in each case, a "</w:t>
            </w:r>
            <w:r>
              <w:rPr>
                <w:b/>
                <w:u w:val="single"/>
              </w:rPr>
              <w:t>New Strike Amount</w:t>
            </w:r>
            <w:r>
              <w:rPr>
                <w:b/>
              </w:rPr>
              <w:t>")]</w:t>
            </w:r>
            <w:r>
              <w:rPr/>
              <w:t xml:space="preserve">. </w:t>
            </w:r>
          </w:p>
          <w:p>
            <w:pPr>
              <w:pStyle w:val="Normal"/>
              <w:widowControl/>
              <w:tabs>
                <w:tab w:val="left" w:pos="720" w:leader="none"/>
              </w:tabs>
              <w:ind w:hanging="360" w:start="720" w:end="0"/>
              <w:jc w:val="both"/>
              <w:rPr/>
            </w:pPr>
            <w:r>
              <w:rPr/>
              <w:t>(c)</w:t>
              <w:tab/>
            </w:r>
            <w:r>
              <w:rPr>
                <w:b/>
                <w:u w:val="single"/>
              </w:rPr>
              <w:t>Less than 23 days of missing data at the FRWS:</w:t>
            </w:r>
            <w:r>
              <w:rPr/>
              <w:t xml:space="preserve"> In the event of (b) above, should the NCDC fail to report a snowfall level for any day for a FRWS during the Determination Period (up to a maximum total of 23 days) the level for each missing day shall be the average of the recorded daily snowfall levels measured during the Determination Period at the FRWS, or;</w:t>
            </w:r>
          </w:p>
          <w:p>
            <w:pPr>
              <w:pStyle w:val="Normal"/>
              <w:widowControl/>
              <w:tabs>
                <w:tab w:val="left" w:pos="720" w:leader="none"/>
              </w:tabs>
              <w:ind w:hanging="360" w:start="720" w:end="0"/>
              <w:jc w:val="both"/>
              <w:rPr/>
            </w:pPr>
            <w:r>
              <w:rPr/>
              <w:t>(d)</w:t>
              <w:tab/>
            </w:r>
            <w:r>
              <w:rPr>
                <w:b/>
                <w:u w:val="single"/>
              </w:rPr>
              <w:t xml:space="preserve"> 24 or more days of missing data at the FRWS:</w:t>
            </w:r>
            <w:r>
              <w:rPr/>
              <w:t xml:space="preserve"> In the event of (b) above, should the NCDC fail to report snowfall levels for 24 days or more for a FRWS during the Determination Period, then this Transaction shall be terminated and</w:t>
            </w:r>
            <w:r>
              <w:rPr>
                <w:strike/>
              </w:rPr>
              <w:t>{,}</w:t>
            </w:r>
            <w:r>
              <w:rPr/>
              <w:t xml:space="preserve"> </w:t>
            </w:r>
            <w:r>
              <w:rPr>
                <w:b/>
              </w:rPr>
              <w:t>[a termination payment shall be made by EESI to Counterparty as follows: (i)]</w:t>
            </w:r>
            <w:r>
              <w:rPr/>
              <w:t xml:space="preserve"> if the weighted sum of the daily snowfall is </w:t>
            </w:r>
            <w:r>
              <w:rPr>
                <w:u w:val="single"/>
              </w:rPr>
              <w:t>less</w:t>
            </w:r>
            <w:r>
              <w:rPr/>
              <w:t xml:space="preserve"> than </w:t>
            </w:r>
            <w:r>
              <w:rPr>
                <w:strike/>
              </w:rPr>
              <w:t>{(i) the Strike Amount, prior to switching to the FRWS(s), or (ii) the new Strike Amount, following a switch to a FRWS(s)}</w:t>
            </w:r>
            <w:r>
              <w:rPr/>
              <w:t xml:space="preserve"> </w:t>
            </w:r>
            <w:r>
              <w:rPr>
                <w:b/>
              </w:rPr>
              <w:t>[the New Strike Amount ]</w:t>
            </w:r>
            <w:r>
              <w:rPr/>
              <w:t xml:space="preserve">pursuant to (b) above, then EESI shall pay to Counterparty an amount equal to the Premium; </w:t>
            </w:r>
            <w:r>
              <w:rPr>
                <w:strike/>
              </w:rPr>
              <w:t>{provided, however, that,}</w:t>
            </w:r>
            <w:r>
              <w:rPr/>
              <w:t xml:space="preserve"> </w:t>
            </w:r>
            <w:r>
              <w:rPr>
                <w:b/>
              </w:rPr>
              <w:t>[or (ii)]</w:t>
            </w:r>
            <w:r>
              <w:rPr/>
              <w:t xml:space="preserve"> if the weighted sum of the daily snowfall </w:t>
            </w:r>
            <w:r>
              <w:rPr>
                <w:strike/>
              </w:rPr>
              <w:t>{is greater than (i) the Strike Amount, prior to switching to the FRWS(s), or (ii) the new Strike Amount, following a switch to a FRWS(s) pursuant to (b) above,}</w:t>
            </w:r>
            <w:r>
              <w:rPr/>
              <w:t xml:space="preserve"> </w:t>
            </w:r>
            <w:r>
              <w:rPr>
                <w:b/>
              </w:rPr>
              <w:t>[accumulated prior to the beginning of the Missing Data Days leading to termination hereunder (the "</w:t>
            </w:r>
            <w:r>
              <w:rPr>
                <w:b/>
                <w:u w:val="single"/>
              </w:rPr>
              <w:t>Abbreviated Snowfall Data</w:t>
            </w:r>
            <w:r>
              <w:rPr>
                <w:b/>
              </w:rPr>
              <w:t xml:space="preserve">"), is </w:t>
            </w:r>
            <w:r>
              <w:rPr>
                <w:b/>
                <w:u w:val="single"/>
              </w:rPr>
              <w:t>greater</w:t>
            </w:r>
            <w:r>
              <w:rPr/>
              <w:t xml:space="preserve"> </w:t>
            </w:r>
            <w:r>
              <w:rPr>
                <w:b/>
              </w:rPr>
              <w:t>than the New Strike Amount, ]</w:t>
            </w:r>
            <w:r>
              <w:rPr/>
              <w:t xml:space="preserve">then EESI shall pay to Counterparty an amount equal to </w:t>
            </w:r>
            <w:r>
              <w:rPr>
                <w:strike/>
              </w:rPr>
              <w:t>{greater of (X)}</w:t>
            </w:r>
            <w:r>
              <w:rPr/>
              <w:t xml:space="preserve"> the Cash Settlement Amount </w:t>
            </w:r>
            <w:r>
              <w:rPr>
                <w:strike/>
              </w:rPr>
              <w:t>{or (Y)the Premium.</w:t>
            </w:r>
          </w:p>
          <w:p>
            <w:pPr>
              <w:pStyle w:val="Normal"/>
              <w:widowControl/>
              <w:tabs>
                <w:tab w:val="left" w:pos="720" w:leader="none"/>
              </w:tabs>
              <w:ind w:hanging="360" w:start="720" w:end="0"/>
              <w:jc w:val="both"/>
              <w:rPr>
                <w:strike/>
              </w:rPr>
            </w:pPr>
            <w:r>
              <w:rPr>
                <w:strike/>
              </w:rPr>
            </w:r>
          </w:p>
          <w:p>
            <w:pPr>
              <w:pStyle w:val="Normal"/>
              <w:widowControl/>
              <w:tabs>
                <w:tab w:val="left" w:pos="720" w:leader="none"/>
              </w:tabs>
              <w:ind w:hanging="360" w:start="720" w:end="0"/>
              <w:jc w:val="both"/>
              <w:rPr/>
            </w:pPr>
            <w:r>
              <w:rPr>
                <w:strike/>
              </w:rPr>
              <w:t>Notwithstanding any provision in this Confirmation to the contrary, if the Strike Amount, had been exceeded by the weighted sum of the daily snowfall prior to switching to the FRWS(s) then the Floating Amount used to calculate the Cash Settlement Amount under the new Strike Amount shall not be less than the level of the weighted sum of the daily snowfall that was reached prior to changing the reference station(s) to the FRWS(s)}</w:t>
            </w:r>
            <w:r>
              <w:rPr/>
              <w:t>.</w:t>
            </w:r>
          </w:p>
          <w:p>
            <w:pPr>
              <w:pStyle w:val="Normal"/>
              <w:widowControl/>
              <w:jc w:val="both"/>
              <w:rPr/>
            </w:pPr>
            <w:r>
              <w:rPr/>
            </w:r>
          </w:p>
        </w:tc>
      </w:tr>
      <w:tr>
        <w:trPr/>
        <w:tc>
          <w:tcPr>
            <w:tcW w:w="3168" w:type="dxa"/>
            <w:tcBorders/>
          </w:tcPr>
          <w:p>
            <w:pPr>
              <w:pStyle w:val="Normal"/>
              <w:widowControl/>
              <w:jc w:val="both"/>
              <w:rPr/>
            </w:pPr>
            <w:r>
              <w:rPr/>
              <w:t>Data Sources:</w:t>
            </w:r>
          </w:p>
        </w:tc>
        <w:tc>
          <w:tcPr>
            <w:tcW w:w="6408" w:type="dxa"/>
            <w:tcBorders/>
          </w:tcPr>
          <w:p>
            <w:pPr>
              <w:pStyle w:val="Normal"/>
              <w:widowControl/>
              <w:jc w:val="both"/>
              <w:rPr/>
            </w:pPr>
            <w:r>
              <w:rPr/>
              <w:t>The data used to determine the Floating Amount (and to the extent required, data for the FRWS) shall be obtained from the NCDC’s official website located at http://www.nndc.noaa.gov,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http://www.ncdc.noaa.gov. Notwithstanding the foregoing, if neither the Regional Climate Data Center nor the NCDC issues data for the Index Station, then the procedures set forth under "Fallback Methodology" shall be utilized to determine the missing data.</w:t>
            </w:r>
          </w:p>
          <w:p>
            <w:pPr>
              <w:pStyle w:val="Normal"/>
              <w:widowControl/>
              <w:jc w:val="both"/>
              <w:rPr/>
            </w:pPr>
            <w:r>
              <w:rPr/>
            </w:r>
          </w:p>
        </w:tc>
      </w:tr>
      <w:tr>
        <w:trPr/>
        <w:tc>
          <w:tcPr>
            <w:tcW w:w="3168" w:type="dxa"/>
            <w:tcBorders/>
          </w:tcPr>
          <w:p>
            <w:pPr>
              <w:pStyle w:val="Normal"/>
              <w:widowControl/>
              <w:jc w:val="both"/>
              <w:rPr/>
            </w:pPr>
            <w:r>
              <w:rPr/>
              <w:t>Strike Amount Differential:</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[New Strike Amount Differential:]</w:t>
            </w:r>
          </w:p>
          <w:p>
            <w:pPr>
              <w:pStyle w:val="Normal"/>
              <w:widowControl/>
              <w:jc w:val="both"/>
              <w:rPr/>
            </w:pPr>
            <w:r>
              <w:rPr/>
            </w:r>
          </w:p>
        </w:tc>
        <w:tc>
          <w:tcPr>
            <w:tcW w:w="6408" w:type="dxa"/>
            <w:tcBorders/>
          </w:tcPr>
          <w:p>
            <w:pPr>
              <w:pStyle w:val="Normal"/>
              <w:widowControl/>
              <w:jc w:val="both"/>
              <w:rPr/>
            </w:pPr>
            <w:r>
              <w:rPr/>
              <w:t xml:space="preserve">The amount equal to the excess (if a positive number) of (i) the Floating Amount over (ii) the Strike </w:t>
            </w:r>
            <w:r>
              <w:rPr>
                <w:strike/>
              </w:rPr>
              <w:t>{Amount.Cash Settlement Amount:Notwithstanding any provision of the Agreement to the contrary, if}</w:t>
            </w:r>
            <w:r>
              <w:rPr/>
              <w:t xml:space="preserve"> </w:t>
            </w:r>
            <w:r>
              <w:rPr>
                <w:b/>
              </w:rPr>
              <w:t>[Amount.</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 xml:space="preserve">The amount equal to the excess (if positive) of (i) the Abbreviated Snowfall Data over (ii) the New Strike Amount. </w:t>
            </w:r>
          </w:p>
        </w:tc>
      </w:tr>
      <w:tr>
        <w:trPr/>
        <w:tc>
          <w:tcPr>
            <w:tcW w:w="3168" w:type="dxa"/>
            <w:tcBorders/>
          </w:tcPr>
          <w:p>
            <w:pPr>
              <w:pStyle w:val="Normal"/>
              <w:widowControl/>
              <w:snapToGrid w:val="false"/>
              <w:jc w:val="both"/>
              <w:rPr>
                <w:b/>
              </w:rPr>
            </w:pPr>
            <w:r>
              <w:rPr>
                <w:b/>
              </w:rPr>
            </w:r>
          </w:p>
          <w:p>
            <w:pPr>
              <w:pStyle w:val="Normal"/>
              <w:widowControl/>
              <w:tabs>
                <w:tab w:val="clear" w:pos="720"/>
                <w:tab w:val="left" w:pos="2070" w:leader="none"/>
              </w:tabs>
              <w:ind w:end="792"/>
              <w:jc w:val="both"/>
              <w:rPr>
                <w:b/>
              </w:rPr>
            </w:pPr>
            <w:r>
              <w:rPr>
                <w:b/>
              </w:rPr>
              <w:t>Adjusted Strike Amount Differential:</w:t>
            </w:r>
          </w:p>
        </w:tc>
        <w:tc>
          <w:tcPr>
            <w:tcW w:w="6408" w:type="dxa"/>
            <w:tcBorders/>
          </w:tcPr>
          <w:p>
            <w:pPr>
              <w:pStyle w:val="Normal"/>
              <w:widowControl/>
              <w:snapToGrid w:val="false"/>
              <w:jc w:val="both"/>
              <w:rPr>
                <w:b/>
              </w:rPr>
            </w:pPr>
            <w:r>
              <w:rPr>
                <w:b/>
              </w:rPr>
            </w:r>
          </w:p>
          <w:p>
            <w:pPr>
              <w:pStyle w:val="Normal"/>
              <w:widowControl/>
              <w:jc w:val="both"/>
              <w:rPr>
                <w:b/>
              </w:rPr>
            </w:pPr>
            <w:r>
              <w:rPr>
                <w:b/>
              </w:rPr>
              <w:t xml:space="preserve">The amount equal to the excess (if positive) of (i) the weighted sum of the daily snowfall that was accumulated immediately prior to changing the reference station(s) to the FRWS(s) and (ii) the original Strike Amount prior to such change. </w:t>
            </w:r>
          </w:p>
          <w:p>
            <w:pPr>
              <w:pStyle w:val="Normal"/>
              <w:widowControl/>
              <w:jc w:val="both"/>
              <w:rPr>
                <w:b/>
              </w:rPr>
            </w:pPr>
            <w:r>
              <w:rPr>
                <w:b/>
              </w:rPr>
            </w:r>
          </w:p>
          <w:p>
            <w:pPr>
              <w:pStyle w:val="Normal"/>
              <w:widowControl/>
              <w:jc w:val="both"/>
              <w:rPr>
                <w:b/>
              </w:rPr>
            </w:pPr>
            <w:r>
              <w:rPr>
                <w:b/>
              </w:rPr>
            </w:r>
          </w:p>
        </w:tc>
      </w:tr>
      <w:tr>
        <w:trPr/>
        <w:tc>
          <w:tcPr>
            <w:tcW w:w="3168" w:type="dxa"/>
            <w:tcBorders/>
          </w:tcPr>
          <w:p>
            <w:pPr>
              <w:pStyle w:val="Normal"/>
              <w:widowControl/>
              <w:jc w:val="both"/>
              <w:rPr>
                <w:b/>
              </w:rPr>
            </w:pPr>
            <w:r>
              <w:rPr>
                <w:b/>
              </w:rPr>
              <w:t>Cash Settlement:</w:t>
            </w:r>
          </w:p>
        </w:tc>
        <w:tc>
          <w:tcPr>
            <w:tcW w:w="6408" w:type="dxa"/>
            <w:tcBorders/>
          </w:tcPr>
          <w:p>
            <w:pPr>
              <w:pStyle w:val="Normal"/>
              <w:keepNext w:val="true"/>
              <w:keepLines/>
              <w:widowControl/>
              <w:jc w:val="both"/>
              <w:rPr/>
            </w:pPr>
            <w:r>
              <w:rPr>
                <w:b/>
              </w:rPr>
              <w:t>If]</w:t>
            </w:r>
            <w:r>
              <w:rPr/>
              <w:t xml:space="preserve"> the Floating Amount is greater than the Strike Amount, </w:t>
            </w:r>
            <w:r>
              <w:rPr>
                <w:strike/>
              </w:rPr>
              <w:t>{the Floating Amount Payer shall pay the Fixed Amount Payer an amount in US Dollars}</w:t>
            </w:r>
            <w:r>
              <w:rPr/>
              <w:t xml:space="preserve"> </w:t>
            </w:r>
            <w:r>
              <w:rPr>
                <w:b/>
              </w:rPr>
              <w:t>[EESI shall pay Counterparty an amount (the "</w:t>
            </w:r>
            <w:r>
              <w:rPr>
                <w:b/>
                <w:u w:val="single"/>
              </w:rPr>
              <w:t>Cash Settlement Amount</w:t>
            </w:r>
            <w:r>
              <w:rPr>
                <w:b/>
              </w:rPr>
              <w:t>")]</w:t>
            </w:r>
            <w:r>
              <w:rPr/>
              <w:t xml:space="preserve"> equal to the product of (i) the Notional Amount and (ii) the Strike Amount Differential</w:t>
            </w:r>
            <w:r>
              <w:rPr>
                <w:strike/>
              </w:rPr>
              <w:t>{, which amount shall be due and payable on the applicable Payment Date}</w:t>
            </w:r>
            <w:r>
              <w:rPr/>
              <w:t xml:space="preserve">; </w:t>
            </w:r>
            <w:r>
              <w:rPr>
                <w:u w:val="single"/>
              </w:rPr>
              <w:t>provided</w:t>
            </w:r>
            <w:r>
              <w:rPr/>
              <w:t xml:space="preserve">, </w:t>
            </w:r>
            <w:r>
              <w:rPr>
                <w:u w:val="single"/>
              </w:rPr>
              <w:t>however</w:t>
            </w:r>
            <w:r>
              <w:rPr/>
              <w:t>, that</w:t>
            </w:r>
            <w:r>
              <w:rPr>
                <w:b/>
              </w:rPr>
              <w:t xml:space="preserve">[, if the Cash Settlement Amount is being calculated pursuant to paragraph (d) of the Fallback Methodology (and solely for such purposes), then the New Strike Amount Differential shall be used in lieu of the Strike Amount Differential; and, </w:t>
            </w:r>
            <w:r>
              <w:rPr>
                <w:b/>
                <w:u w:val="single"/>
              </w:rPr>
              <w:t>provided</w:t>
            </w:r>
            <w:r>
              <w:rPr>
                <w:b/>
              </w:rPr>
              <w:t xml:space="preserve">, </w:t>
            </w:r>
            <w:r>
              <w:rPr>
                <w:b/>
                <w:u w:val="single"/>
              </w:rPr>
              <w:t>further</w:t>
            </w:r>
            <w:r>
              <w:rPr>
                <w:b/>
              </w:rPr>
              <w:t>, that, if the Strike Amount had been exceeded by the weighted sum of the daily snowfall prior to switching to the FRWS(s) pursuant to paragraph (b) of the Fallback Methodology, then the Cash Settlement Amount shall be an amount equal to the greater of (X) the Cash Settlement Amount as calculated above, and (Y) the Cash Settlement Amount equal to the product of (i) the Notional Amount and (ii) the Adjusted Strike Amount Differential.  The Cash Settlement Amount shall be due and payable on the applicable Payment Date in US Dollars. Notwithstanding any provision in this Confirmation to the contrary,]</w:t>
            </w:r>
            <w:r>
              <w:rPr/>
              <w:t xml:space="preserve"> the maximum amount payable by the Floating Amount Payer shall not exceed $3,000,000.</w:t>
            </w:r>
          </w:p>
          <w:p>
            <w:pPr>
              <w:pStyle w:val="Normal"/>
              <w:keepNext w:val="true"/>
              <w:keepLines/>
              <w:widowControl/>
              <w:jc w:val="both"/>
              <w:rPr/>
            </w:pPr>
            <w:r>
              <w:rPr/>
            </w:r>
          </w:p>
        </w:tc>
      </w:tr>
      <w:tr>
        <w:trPr/>
        <w:tc>
          <w:tcPr>
            <w:tcW w:w="3168" w:type="dxa"/>
            <w:tcBorders/>
          </w:tcPr>
          <w:p>
            <w:pPr>
              <w:pStyle w:val="Normal"/>
              <w:widowControl/>
              <w:rPr/>
            </w:pPr>
            <w:r>
              <w:rPr/>
              <w:t>Contractual Currency:</w:t>
            </w:r>
          </w:p>
        </w:tc>
        <w:tc>
          <w:tcPr>
            <w:tcW w:w="6390" w:type="dxa"/>
            <w:tcBorders/>
          </w:tcPr>
          <w:p>
            <w:pPr>
              <w:pStyle w:val="Normal"/>
              <w:widowControl/>
              <w:ind w:end="684"/>
              <w:jc w:val="both"/>
              <w:rPr/>
            </w:pPr>
            <w:r>
              <w:rPr/>
              <w:t>US Dollars ($)</w:t>
            </w:r>
          </w:p>
        </w:tc>
      </w:tr>
      <w:tr>
        <w:trPr/>
        <w:tc>
          <w:tcPr>
            <w:tcW w:w="3168" w:type="dxa"/>
            <w:tcBorders/>
          </w:tcPr>
          <w:p>
            <w:pPr>
              <w:pStyle w:val="Normal"/>
              <w:widowControl/>
              <w:snapToGrid w:val="false"/>
              <w:rPr>
                <w:sz w:val="22"/>
              </w:rPr>
            </w:pPr>
            <w:r>
              <w:rPr>
                <w:sz w:val="22"/>
              </w:rPr>
            </w:r>
          </w:p>
        </w:tc>
        <w:tc>
          <w:tcPr>
            <w:tcW w:w="6390" w:type="dxa"/>
            <w:tcBorders/>
          </w:tcPr>
          <w:p>
            <w:pPr>
              <w:pStyle w:val="Normal"/>
              <w:widowControl/>
              <w:snapToGrid w:val="false"/>
              <w:ind w:end="684"/>
              <w:jc w:val="both"/>
              <w:rPr/>
            </w:pPr>
            <w:r>
              <w:rPr/>
            </w:r>
          </w:p>
        </w:tc>
      </w:tr>
      <w:tr>
        <w:trPr/>
        <w:tc>
          <w:tcPr>
            <w:tcW w:w="3168" w:type="dxa"/>
            <w:tcBorders/>
          </w:tcPr>
          <w:p>
            <w:pPr>
              <w:pStyle w:val="Normal"/>
              <w:widowControl/>
              <w:rPr/>
            </w:pPr>
            <w:r>
              <w:rPr/>
              <w:t>Governing Law:</w:t>
            </w:r>
          </w:p>
        </w:tc>
        <w:tc>
          <w:tcPr>
            <w:tcW w:w="6390" w:type="dxa"/>
            <w:tcBorders/>
          </w:tcPr>
          <w:p>
            <w:pPr>
              <w:pStyle w:val="Normal"/>
              <w:widowControl/>
              <w:ind w:end="684"/>
              <w:jc w:val="both"/>
              <w:rPr/>
            </w:pPr>
            <w:r>
              <w:rPr/>
              <w:t>Texas</w:t>
            </w:r>
          </w:p>
        </w:tc>
      </w:tr>
      <w:tr>
        <w:trPr/>
        <w:tc>
          <w:tcPr>
            <w:tcW w:w="3168" w:type="dxa"/>
            <w:tcBorders/>
          </w:tcPr>
          <w:p>
            <w:pPr>
              <w:pStyle w:val="Normal"/>
              <w:widowControl/>
              <w:snapToGrid w:val="false"/>
              <w:rPr>
                <w:sz w:val="22"/>
              </w:rPr>
            </w:pPr>
            <w:r>
              <w:rPr>
                <w:sz w:val="22"/>
              </w:rPr>
            </w:r>
          </w:p>
        </w:tc>
        <w:tc>
          <w:tcPr>
            <w:tcW w:w="6390" w:type="dxa"/>
            <w:tcBorders/>
          </w:tcPr>
          <w:p>
            <w:pPr>
              <w:pStyle w:val="Normal"/>
              <w:widowControl/>
              <w:snapToGrid w:val="false"/>
              <w:ind w:end="684"/>
              <w:jc w:val="both"/>
              <w:rPr/>
            </w:pPr>
            <w:r>
              <w:rPr/>
            </w:r>
          </w:p>
        </w:tc>
      </w:tr>
      <w:tr>
        <w:trPr/>
        <w:tc>
          <w:tcPr>
            <w:tcW w:w="3168" w:type="dxa"/>
            <w:tcBorders/>
          </w:tcPr>
          <w:p>
            <w:pPr>
              <w:pStyle w:val="Normal"/>
              <w:widowControl/>
              <w:rPr/>
            </w:pPr>
            <w:r>
              <w:rPr/>
              <w:t>General Terms and Conditions</w:t>
            </w:r>
          </w:p>
          <w:p>
            <w:pPr>
              <w:pStyle w:val="Normal"/>
              <w:widowControl/>
              <w:rPr/>
            </w:pPr>
            <w:r>
              <w:rPr/>
              <w:t>of Confirmations:</w:t>
            </w:r>
          </w:p>
        </w:tc>
        <w:tc>
          <w:tcPr>
            <w:tcW w:w="6390" w:type="dxa"/>
            <w:tcBorders/>
          </w:tcPr>
          <w:p>
            <w:pPr>
              <w:pStyle w:val="Normal"/>
              <w:widowControl/>
              <w:snapToGrid w:val="false"/>
              <w:ind w:end="684"/>
              <w:jc w:val="both"/>
              <w:rPr/>
            </w:pPr>
            <w:r>
              <w:rPr/>
            </w:r>
          </w:p>
          <w:p>
            <w:pPr>
              <w:pStyle w:val="Normal"/>
              <w:widowControl/>
              <w:tabs>
                <w:tab w:val="clear" w:pos="720"/>
                <w:tab w:val="left" w:pos="4662" w:leader="none"/>
                <w:tab w:val="left" w:pos="5022" w:leader="none"/>
                <w:tab w:val="left" w:pos="5094" w:leader="none"/>
              </w:tabs>
              <w:ind w:end="-18"/>
              <w:jc w:val="both"/>
              <w:rPr/>
            </w:pPr>
            <w:r>
              <w:rPr/>
              <w:t>The general terms and conditions contained in Annex A attached hereto shall apply to this Confirmation, and are hereby made a part hereof and incorporated herein by reference.</w:t>
            </w:r>
          </w:p>
        </w:tc>
      </w:tr>
      <w:tr>
        <w:trPr/>
        <w:tc>
          <w:tcPr>
            <w:tcW w:w="3168" w:type="dxa"/>
            <w:tcBorders/>
          </w:tcPr>
          <w:p>
            <w:pPr>
              <w:pStyle w:val="Normal"/>
              <w:widowControl/>
              <w:snapToGrid w:val="false"/>
              <w:rPr>
                <w:sz w:val="22"/>
              </w:rPr>
            </w:pPr>
            <w:r>
              <w:rPr>
                <w:sz w:val="22"/>
              </w:rPr>
            </w:r>
          </w:p>
        </w:tc>
        <w:tc>
          <w:tcPr>
            <w:tcW w:w="6390" w:type="dxa"/>
            <w:tcBorders/>
          </w:tcPr>
          <w:p>
            <w:pPr>
              <w:pStyle w:val="Normal"/>
              <w:widowControl/>
              <w:snapToGrid w:val="false"/>
              <w:ind w:end="684"/>
              <w:jc w:val="both"/>
              <w:rPr/>
            </w:pPr>
            <w:r>
              <w:rPr/>
            </w:r>
          </w:p>
        </w:tc>
      </w:tr>
      <w:tr>
        <w:trPr/>
        <w:tc>
          <w:tcPr>
            <w:tcW w:w="3168" w:type="dxa"/>
            <w:tcBorders/>
          </w:tcPr>
          <w:p>
            <w:pPr>
              <w:pStyle w:val="Normal"/>
              <w:widowControl/>
              <w:rPr/>
            </w:pPr>
            <w:r>
              <w:rPr/>
              <w:t>Credit or Other Special Provisions:</w:t>
            </w:r>
          </w:p>
        </w:tc>
        <w:tc>
          <w:tcPr>
            <w:tcW w:w="6390" w:type="dxa"/>
            <w:tcBorders/>
          </w:tcPr>
          <w:p>
            <w:pPr>
              <w:pStyle w:val="Normal"/>
              <w:widowControl/>
              <w:ind w:end="-468"/>
              <w:rPr>
                <w:sz w:val="18"/>
              </w:rPr>
            </w:pPr>
            <w:r>
              <w:rPr>
                <w:sz w:val="18"/>
              </w:rPr>
              <w:t>ADDITIONAL PROVISIONS MAY APPLY DEPENDING ON COUNTERPARTY</w:t>
            </w:r>
          </w:p>
        </w:tc>
      </w:tr>
    </w:tbl>
    <w:p>
      <w:pPr>
        <w:pStyle w:val="Normal"/>
        <w:widowControl/>
        <w:jc w:val="both"/>
        <w:rPr/>
      </w:pPr>
      <w:r>
        <w:rPr/>
      </w:r>
    </w:p>
    <w:p>
      <w:pPr>
        <w:pStyle w:val="Normal"/>
        <w:widowControl/>
        <w:jc w:val="both"/>
        <w:rPr/>
      </w:pPr>
      <w:r>
        <w:rPr/>
      </w:r>
    </w:p>
    <w:p>
      <w:pPr>
        <w:pStyle w:val="Normal"/>
        <w:widowControl/>
        <w:tabs>
          <w:tab w:val="left" w:pos="720" w:leader="none"/>
        </w:tabs>
        <w:ind w:end="-720"/>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widowControl/>
        <w:jc w:val="both"/>
        <w:rPr>
          <w:sz w:val="22"/>
        </w:rPr>
      </w:pPr>
      <w:r>
        <w:rPr>
          <w:sz w:val="22"/>
        </w:rPr>
      </w:r>
    </w:p>
    <w:p>
      <w:pPr>
        <w:pStyle w:val="Normal"/>
        <w:widowControl/>
        <w:ind w:firstLine="720" w:end="-72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widowControl/>
        <w:spacing w:before="120" w:after="120"/>
        <w:rPr>
          <w:sz w:val="22"/>
        </w:rPr>
      </w:pPr>
      <w:r>
        <w:rPr>
          <w:sz w:val="22"/>
        </w:rPr>
        <w:t>Sincerely,</w:t>
      </w:r>
    </w:p>
    <w:p>
      <w:pPr>
        <w:pStyle w:val="Heading1"/>
        <w:widowControl/>
        <w:tabs>
          <w:tab w:val="clear" w:pos="720"/>
          <w:tab w:val="left" w:pos="5760" w:leader="none"/>
        </w:tabs>
        <w:spacing w:before="0" w:after="120"/>
        <w:ind w:hanging="0" w:start="0"/>
        <w:rPr/>
      </w:pPr>
      <w:r>
        <w:rPr/>
        <w:t>ENRON ENERGY SERVICES, INC.</w:t>
        <w:tab/>
      </w:r>
      <w:r>
        <w:rPr>
          <w:color w:val="FF0000"/>
        </w:rPr>
        <w:t>[COUNTERPARTY]</w:t>
      </w:r>
    </w:p>
    <w:p>
      <w:pPr>
        <w:pStyle w:val="Normal"/>
        <w:widowControl/>
        <w:rPr>
          <w:color w:val="FF0000"/>
          <w:sz w:val="22"/>
        </w:rPr>
      </w:pPr>
      <w:r>
        <w:rPr>
          <w:color w:val="FF0000"/>
          <w:sz w:val="22"/>
        </w:rPr>
      </w:r>
    </w:p>
    <w:p>
      <w:pPr>
        <w:pStyle w:val="Normal"/>
        <w:widowControl/>
        <w:tabs>
          <w:tab w:val="clear" w:pos="720"/>
          <w:tab w:val="left" w:pos="4140" w:leader="none"/>
          <w:tab w:val="left" w:pos="5760" w:leader="none"/>
          <w:tab w:val="left" w:pos="9900" w:leader="none"/>
        </w:tabs>
        <w:spacing w:before="0" w:after="120"/>
        <w:rPr>
          <w:sz w:val="22"/>
          <w:u w:val="single"/>
        </w:rPr>
      </w:pPr>
      <w:r>
        <w:rPr>
          <w:sz w:val="22"/>
        </w:rPr>
        <w:t>By:</w:t>
      </w:r>
      <w:r>
        <w:rPr>
          <w:b/>
          <w:sz w:val="22"/>
          <w:u w:val="single"/>
        </w:rPr>
        <w:t xml:space="preserve">      NOT FOR EXECUTION</w:t>
        <w:tab/>
      </w:r>
      <w:r>
        <w:rPr>
          <w:sz w:val="22"/>
        </w:rPr>
        <w:tab/>
        <w:t>By:</w:t>
      </w:r>
      <w:r>
        <w:rPr>
          <w:b/>
          <w:sz w:val="22"/>
          <w:u w:val="single"/>
        </w:rPr>
        <w:t xml:space="preserve">   NOT FOR EXECUTION</w:t>
        <w:tab/>
      </w:r>
    </w:p>
    <w:p>
      <w:pPr>
        <w:pStyle w:val="Normal"/>
        <w:widowControl/>
        <w:tabs>
          <w:tab w:val="clear" w:pos="720"/>
          <w:tab w:val="left" w:pos="4140" w:leader="none"/>
          <w:tab w:val="left" w:pos="5760" w:leader="none"/>
          <w:tab w:val="left" w:pos="9900" w:leader="none"/>
        </w:tabs>
        <w:spacing w:before="0" w:after="120"/>
        <w:rPr/>
      </w:pPr>
      <w:r>
        <w:rPr>
          <w:sz w:val="22"/>
        </w:rPr>
        <w:t>Name:</w:t>
      </w:r>
      <w:r>
        <w:rPr>
          <w:sz w:val="22"/>
          <w:u w:val="single"/>
        </w:rPr>
        <w:tab/>
      </w:r>
      <w:r>
        <w:rPr>
          <w:sz w:val="22"/>
        </w:rPr>
        <w:tab/>
        <w:t>Name:</w:t>
      </w:r>
      <w:r>
        <w:rPr>
          <w:sz w:val="22"/>
          <w:u w:val="single"/>
        </w:rPr>
        <w:tab/>
      </w:r>
    </w:p>
    <w:p>
      <w:pPr>
        <w:pStyle w:val="Normal"/>
        <w:widowControl/>
        <w:tabs>
          <w:tab w:val="clear" w:pos="720"/>
          <w:tab w:val="left" w:pos="4140" w:leader="none"/>
          <w:tab w:val="left" w:pos="5760" w:leader="none"/>
          <w:tab w:val="left" w:pos="9900" w:leader="none"/>
        </w:tabs>
        <w:spacing w:before="0" w:after="120"/>
        <w:rPr/>
      </w:pPr>
      <w:r>
        <w:rPr>
          <w:sz w:val="22"/>
        </w:rPr>
        <w:t>Title:</w:t>
      </w:r>
      <w:r>
        <w:rPr>
          <w:sz w:val="22"/>
          <w:u w:val="single"/>
        </w:rPr>
        <w:tab/>
      </w:r>
      <w:r>
        <w:rPr>
          <w:sz w:val="22"/>
        </w:rPr>
        <w:tab/>
        <w:t>Title:</w:t>
      </w:r>
      <w:r>
        <w:rPr>
          <w:sz w:val="22"/>
          <w:u w:val="single"/>
        </w:rPr>
        <w:tab/>
      </w:r>
    </w:p>
    <w:p>
      <w:pPr>
        <w:pStyle w:val="Normal"/>
        <w:widowControl/>
        <w:tabs>
          <w:tab w:val="clear" w:pos="720"/>
          <w:tab w:val="left" w:pos="4140" w:leader="none"/>
          <w:tab w:val="left" w:pos="5760" w:leader="none"/>
          <w:tab w:val="left" w:pos="9900" w:leader="none"/>
        </w:tabs>
        <w:rPr/>
      </w:pPr>
      <w:r>
        <w:rPr>
          <w:sz w:val="22"/>
        </w:rPr>
        <w:t>Date:</w:t>
      </w:r>
      <w:r>
        <w:rPr>
          <w:sz w:val="22"/>
          <w:u w:val="single"/>
        </w:rPr>
        <w:tab/>
      </w:r>
      <w:r>
        <w:rPr>
          <w:sz w:val="22"/>
        </w:rPr>
        <w:tab/>
        <w:t>Date:</w:t>
      </w:r>
      <w:r>
        <w:rPr>
          <w:sz w:val="22"/>
          <w:u w:val="single"/>
        </w:rPr>
        <w:tab/>
      </w:r>
    </w:p>
    <w:p>
      <w:pPr>
        <w:pStyle w:val="Normal"/>
        <w:widowControl/>
        <w:rPr>
          <w:sz w:val="22"/>
          <w:u w:val="single"/>
        </w:rPr>
      </w:pPr>
      <w:r>
        <w:rPr>
          <w:sz w:val="22"/>
          <w:u w:val="single"/>
        </w:rPr>
      </w:r>
    </w:p>
    <w:p>
      <w:pPr>
        <w:pStyle w:val="BodyText2"/>
        <w:widowControl/>
        <w:rPr/>
      </w:pPr>
      <w:r>
        <w:rPr/>
        <w:t>COUNTERPARTY: AFTER YOU HAVE CONFIRMED TRANSACTION, PLEASE RETURN TO EESI, ATTENTION:  ASSISTANT GENERAL COUNSEL - COMMODITY AT FAX NO 713.646.8860.</w:t>
      </w:r>
    </w:p>
    <w:p>
      <w:pPr>
        <w:pStyle w:val="Normal"/>
        <w:widowContro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widowControl/>
              <w:rPr>
                <w:sz w:val="22"/>
              </w:rPr>
            </w:pPr>
            <w:r>
              <w:rPr>
                <w:b/>
                <w:sz w:val="22"/>
              </w:rPr>
              <w:t>Address for Notices to EESI:</w:t>
            </w:r>
          </w:p>
        </w:tc>
        <w:tc>
          <w:tcPr>
            <w:tcW w:w="4932" w:type="dxa"/>
            <w:tcBorders/>
          </w:tcPr>
          <w:p>
            <w:pPr>
              <w:pStyle w:val="Normal"/>
              <w:widowControl/>
              <w:rPr>
                <w:sz w:val="22"/>
              </w:rPr>
            </w:pPr>
            <w:r>
              <w:rPr>
                <w:b/>
                <w:sz w:val="22"/>
              </w:rPr>
              <w:t>Payment Account Information for EESI:</w:t>
            </w:r>
          </w:p>
        </w:tc>
      </w:tr>
      <w:tr>
        <w:trPr/>
        <w:tc>
          <w:tcPr>
            <w:tcW w:w="5508" w:type="dxa"/>
            <w:tcBorders/>
          </w:tcPr>
          <w:p>
            <w:pPr>
              <w:pStyle w:val="Normal"/>
              <w:widowControl/>
              <w:snapToGrid w:val="false"/>
              <w:rPr>
                <w:sz w:val="22"/>
              </w:rPr>
            </w:pPr>
            <w:r>
              <w:rPr>
                <w:sz w:val="22"/>
              </w:rPr>
            </w:r>
          </w:p>
        </w:tc>
        <w:tc>
          <w:tcPr>
            <w:tcW w:w="4932" w:type="dxa"/>
            <w:tcBorders/>
          </w:tcPr>
          <w:p>
            <w:pPr>
              <w:pStyle w:val="Normal"/>
              <w:widowControl/>
              <w:snapToGrid w:val="false"/>
              <w:rPr>
                <w:sz w:val="22"/>
              </w:rPr>
            </w:pPr>
            <w:r>
              <w:rPr>
                <w:sz w:val="22"/>
              </w:rPr>
            </w:r>
          </w:p>
        </w:tc>
      </w:tr>
      <w:tr>
        <w:trPr/>
        <w:tc>
          <w:tcPr>
            <w:tcW w:w="5508" w:type="dxa"/>
            <w:tcBorders/>
          </w:tcPr>
          <w:p>
            <w:pPr>
              <w:pStyle w:val="Normal"/>
              <w:widowControl/>
              <w:rPr>
                <w:sz w:val="22"/>
              </w:rPr>
            </w:pPr>
            <w:r>
              <w:rPr>
                <w:sz w:val="22"/>
              </w:rPr>
              <w:t>PO Box 1188</w:t>
            </w:r>
          </w:p>
        </w:tc>
        <w:tc>
          <w:tcPr>
            <w:tcW w:w="4932" w:type="dxa"/>
            <w:tcBorders/>
          </w:tcPr>
          <w:p>
            <w:pPr>
              <w:pStyle w:val="Normal"/>
              <w:widowControl/>
              <w:rPr>
                <w:sz w:val="22"/>
              </w:rPr>
            </w:pPr>
            <w:r>
              <w:rPr>
                <w:sz w:val="22"/>
              </w:rPr>
              <w:t>Wire Transfer to: Bank of America, NA</w:t>
            </w:r>
          </w:p>
        </w:tc>
      </w:tr>
      <w:tr>
        <w:trPr/>
        <w:tc>
          <w:tcPr>
            <w:tcW w:w="5508" w:type="dxa"/>
            <w:tcBorders/>
          </w:tcPr>
          <w:p>
            <w:pPr>
              <w:pStyle w:val="Normal"/>
              <w:widowControl/>
              <w:rPr>
                <w:sz w:val="22"/>
              </w:rPr>
            </w:pPr>
            <w:r>
              <w:rPr>
                <w:sz w:val="22"/>
              </w:rPr>
              <w:t>Houston, TX  77251-1188</w:t>
            </w:r>
          </w:p>
        </w:tc>
        <w:tc>
          <w:tcPr>
            <w:tcW w:w="4932" w:type="dxa"/>
            <w:tcBorders/>
          </w:tcPr>
          <w:p>
            <w:pPr>
              <w:pStyle w:val="Normal"/>
              <w:widowControl/>
              <w:rPr>
                <w:sz w:val="22"/>
              </w:rPr>
            </w:pPr>
            <w:r>
              <w:rPr>
                <w:sz w:val="22"/>
              </w:rPr>
              <w:t>Acct No. 3751520438</w:t>
            </w:r>
          </w:p>
        </w:tc>
      </w:tr>
      <w:tr>
        <w:trPr/>
        <w:tc>
          <w:tcPr>
            <w:tcW w:w="5508" w:type="dxa"/>
            <w:tcBorders/>
          </w:tcPr>
          <w:p>
            <w:pPr>
              <w:pStyle w:val="Normal"/>
              <w:widowControl/>
              <w:rPr>
                <w:sz w:val="22"/>
              </w:rPr>
            </w:pPr>
            <w:r>
              <w:rPr>
                <w:sz w:val="22"/>
              </w:rPr>
              <w:t>Attention:  Assistant General Counsel – Commodity</w:t>
            </w:r>
          </w:p>
        </w:tc>
        <w:tc>
          <w:tcPr>
            <w:tcW w:w="4932" w:type="dxa"/>
            <w:tcBorders/>
          </w:tcPr>
          <w:p>
            <w:pPr>
              <w:pStyle w:val="Normal"/>
              <w:widowControl/>
              <w:rPr>
                <w:sz w:val="22"/>
              </w:rPr>
            </w:pPr>
            <w:r>
              <w:rPr>
                <w:sz w:val="22"/>
              </w:rPr>
              <w:t>ABA Routing No. 111000012</w:t>
            </w:r>
          </w:p>
        </w:tc>
      </w:tr>
      <w:tr>
        <w:trPr/>
        <w:tc>
          <w:tcPr>
            <w:tcW w:w="5508" w:type="dxa"/>
            <w:tcBorders/>
          </w:tcPr>
          <w:p>
            <w:pPr>
              <w:pStyle w:val="Normal"/>
              <w:widowControl/>
              <w:rPr>
                <w:sz w:val="22"/>
              </w:rPr>
            </w:pPr>
            <w:r>
              <w:rPr>
                <w:sz w:val="22"/>
              </w:rPr>
              <w:t>Fax:  (713) 646-8860</w:t>
            </w:r>
          </w:p>
        </w:tc>
        <w:tc>
          <w:tcPr>
            <w:tcW w:w="4932" w:type="dxa"/>
            <w:tcBorders/>
          </w:tcPr>
          <w:p>
            <w:pPr>
              <w:pStyle w:val="Normal"/>
              <w:widowControl/>
              <w:snapToGrid w:val="false"/>
              <w:rPr>
                <w:sz w:val="22"/>
              </w:rPr>
            </w:pPr>
            <w:r>
              <w:rPr>
                <w:sz w:val="22"/>
              </w:rPr>
            </w:r>
          </w:p>
        </w:tc>
      </w:tr>
      <w:tr>
        <w:trPr/>
        <w:tc>
          <w:tcPr>
            <w:tcW w:w="5508" w:type="dxa"/>
            <w:tcBorders/>
          </w:tcPr>
          <w:p>
            <w:pPr>
              <w:pStyle w:val="Normal"/>
              <w:widowControl/>
              <w:rPr>
                <w:sz w:val="22"/>
              </w:rPr>
            </w:pPr>
            <w:r>
              <w:rPr>
                <w:sz w:val="22"/>
              </w:rPr>
              <w:t>Phone:  (713) 853-1595</w:t>
            </w:r>
          </w:p>
        </w:tc>
        <w:tc>
          <w:tcPr>
            <w:tcW w:w="4932" w:type="dxa"/>
            <w:tcBorders/>
          </w:tcPr>
          <w:p>
            <w:pPr>
              <w:pStyle w:val="Normal"/>
              <w:widowControl/>
              <w:snapToGrid w:val="false"/>
              <w:rPr>
                <w:sz w:val="22"/>
              </w:rPr>
            </w:pPr>
            <w:r>
              <w:rPr>
                <w:sz w:val="22"/>
              </w:rPr>
            </w:r>
          </w:p>
        </w:tc>
      </w:tr>
    </w:tbl>
    <w:p>
      <w:pPr>
        <w:pStyle w:val="Normal"/>
        <w:widowControl/>
        <w:rPr>
          <w:sz w:val="22"/>
        </w:rPr>
      </w:pPr>
      <w:r>
        <w:rPr>
          <w:sz w:val="22"/>
        </w:rPr>
      </w:r>
    </w:p>
    <w:p>
      <w:pPr>
        <w:pStyle w:val="Normal"/>
        <w:widowControl/>
        <w:ind w:end="-360"/>
        <w:rPr>
          <w:sz w:val="22"/>
        </w:rPr>
      </w:pPr>
      <w:r>
        <w:rPr>
          <w:sz w:val="22"/>
        </w:rPr>
        <w:t>With a copy to:</w:t>
      </w:r>
    </w:p>
    <w:p>
      <w:pPr>
        <w:pStyle w:val="Normal"/>
        <w:widowControl/>
        <w:rPr>
          <w:sz w:val="22"/>
        </w:rPr>
      </w:pPr>
      <w:r>
        <w:rPr>
          <w:sz w:val="22"/>
        </w:rPr>
      </w:r>
    </w:p>
    <w:p>
      <w:pPr>
        <w:pStyle w:val="Normal"/>
        <w:widowControl/>
        <w:rPr>
          <w:sz w:val="22"/>
        </w:rPr>
      </w:pPr>
      <w:r>
        <w:rPr>
          <w:sz w:val="22"/>
        </w:rPr>
        <w:t>1400 Smith Street</w:t>
      </w:r>
    </w:p>
    <w:p>
      <w:pPr>
        <w:pStyle w:val="Normal"/>
        <w:widowControl/>
        <w:rPr>
          <w:sz w:val="22"/>
        </w:rPr>
      </w:pPr>
      <w:r>
        <w:rPr>
          <w:sz w:val="22"/>
        </w:rPr>
        <w:t>Houston, Texas  77002</w:t>
      </w:r>
    </w:p>
    <w:p>
      <w:pPr>
        <w:pStyle w:val="Normal"/>
        <w:widowControl/>
        <w:rPr>
          <w:sz w:val="22"/>
        </w:rPr>
      </w:pPr>
      <w:r>
        <w:rPr>
          <w:sz w:val="22"/>
        </w:rPr>
        <w:t>Attn.:  General Counsel</w:t>
      </w:r>
    </w:p>
    <w:p>
      <w:pPr>
        <w:pStyle w:val="Normal"/>
        <w:widowControl/>
        <w:rPr>
          <w:sz w:val="22"/>
        </w:rPr>
      </w:pPr>
      <w:r>
        <w:rPr>
          <w:sz w:val="22"/>
        </w:rPr>
        <w:t>Fax:  (713) 646-2379</w:t>
      </w:r>
    </w:p>
    <w:p>
      <w:pPr>
        <w:pStyle w:val="Normal"/>
        <w:widowContro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widowControl/>
              <w:rPr>
                <w:sz w:val="22"/>
              </w:rPr>
            </w:pPr>
            <w:r>
              <w:rPr>
                <w:b/>
                <w:sz w:val="22"/>
                <w:u w:val="single"/>
              </w:rPr>
              <w:t>Address for Notices to Counterparty:</w:t>
            </w:r>
          </w:p>
        </w:tc>
        <w:tc>
          <w:tcPr>
            <w:tcW w:w="5220" w:type="dxa"/>
            <w:tcBorders/>
          </w:tcPr>
          <w:p>
            <w:pPr>
              <w:pStyle w:val="Normal"/>
              <w:widowControl/>
              <w:rPr>
                <w:sz w:val="22"/>
              </w:rPr>
            </w:pPr>
            <w:r>
              <w:rPr>
                <w:b/>
                <w:sz w:val="22"/>
                <w:u w:val="single"/>
              </w:rPr>
              <w:t>Payment Account Information for Counterparty:</w:t>
            </w:r>
          </w:p>
        </w:tc>
      </w:tr>
      <w:tr>
        <w:trPr/>
        <w:tc>
          <w:tcPr>
            <w:tcW w:w="5220" w:type="dxa"/>
            <w:tcBorders/>
          </w:tcPr>
          <w:p>
            <w:pPr>
              <w:pStyle w:val="Normal"/>
              <w:widowControl/>
              <w:snapToGrid w:val="false"/>
              <w:rPr>
                <w:sz w:val="22"/>
              </w:rPr>
            </w:pPr>
            <w:r>
              <w:rPr>
                <w:sz w:val="22"/>
              </w:rPr>
            </w:r>
          </w:p>
        </w:tc>
        <w:tc>
          <w:tcPr>
            <w:tcW w:w="5220" w:type="dxa"/>
            <w:tcBorders/>
          </w:tcPr>
          <w:p>
            <w:pPr>
              <w:pStyle w:val="Normal"/>
              <w:widowControl/>
              <w:snapToGrid w:val="false"/>
              <w:rPr>
                <w:sz w:val="22"/>
              </w:rPr>
            </w:pPr>
            <w:r>
              <w:rPr>
                <w:sz w:val="22"/>
              </w:rPr>
            </w:r>
          </w:p>
        </w:tc>
      </w:tr>
      <w:tr>
        <w:trPr/>
        <w:tc>
          <w:tcPr>
            <w:tcW w:w="5220" w:type="dxa"/>
            <w:tcBorders/>
          </w:tcPr>
          <w:p>
            <w:pPr>
              <w:pStyle w:val="Normal"/>
              <w:widowControl/>
              <w:tabs>
                <w:tab w:val="clear" w:pos="720"/>
                <w:tab w:val="left" w:pos="3960" w:leader="none"/>
              </w:tabs>
              <w:rPr>
                <w:sz w:val="22"/>
              </w:rPr>
            </w:pPr>
            <w:r>
              <w:rPr>
                <w:sz w:val="22"/>
              </w:rPr>
              <w:t>Address: ____________________________</w:t>
            </w:r>
          </w:p>
        </w:tc>
        <w:tc>
          <w:tcPr>
            <w:tcW w:w="5220" w:type="dxa"/>
            <w:tcBorders/>
          </w:tcPr>
          <w:p>
            <w:pPr>
              <w:pStyle w:val="Normal"/>
              <w:widowControl/>
              <w:rPr>
                <w:sz w:val="22"/>
              </w:rPr>
            </w:pPr>
            <w:r>
              <w:rPr>
                <w:sz w:val="22"/>
              </w:rPr>
              <w:t>_________________________________________</w:t>
            </w:r>
          </w:p>
        </w:tc>
      </w:tr>
      <w:tr>
        <w:trPr/>
        <w:tc>
          <w:tcPr>
            <w:tcW w:w="5220" w:type="dxa"/>
            <w:tcBorders/>
          </w:tcPr>
          <w:p>
            <w:pPr>
              <w:pStyle w:val="Normal"/>
              <w:widowControl/>
              <w:rPr>
                <w:sz w:val="22"/>
              </w:rPr>
            </w:pPr>
            <w:r>
              <w:rPr>
                <w:sz w:val="22"/>
              </w:rPr>
              <w:t>____________________________________</w:t>
            </w:r>
          </w:p>
        </w:tc>
        <w:tc>
          <w:tcPr>
            <w:tcW w:w="5220" w:type="dxa"/>
            <w:tcBorders/>
          </w:tcPr>
          <w:p>
            <w:pPr>
              <w:pStyle w:val="Normal"/>
              <w:widowControl/>
              <w:rPr>
                <w:sz w:val="22"/>
              </w:rPr>
            </w:pPr>
            <w:r>
              <w:rPr>
                <w:sz w:val="22"/>
              </w:rPr>
              <w:t>_________________________________________</w:t>
            </w:r>
          </w:p>
        </w:tc>
      </w:tr>
      <w:tr>
        <w:trPr/>
        <w:tc>
          <w:tcPr>
            <w:tcW w:w="5220" w:type="dxa"/>
            <w:tcBorders/>
          </w:tcPr>
          <w:p>
            <w:pPr>
              <w:pStyle w:val="Normal"/>
              <w:widowControl/>
              <w:rPr>
                <w:sz w:val="22"/>
              </w:rPr>
            </w:pPr>
            <w:r>
              <w:rPr>
                <w:sz w:val="22"/>
              </w:rPr>
              <w:t>____________________________________</w:t>
            </w:r>
          </w:p>
        </w:tc>
        <w:tc>
          <w:tcPr>
            <w:tcW w:w="5220" w:type="dxa"/>
            <w:tcBorders/>
          </w:tcPr>
          <w:p>
            <w:pPr>
              <w:pStyle w:val="Normal"/>
              <w:widowControl/>
              <w:rPr>
                <w:sz w:val="22"/>
              </w:rPr>
            </w:pPr>
            <w:r>
              <w:rPr>
                <w:sz w:val="22"/>
              </w:rPr>
              <w:t>_________________________________________</w:t>
            </w:r>
          </w:p>
        </w:tc>
      </w:tr>
      <w:tr>
        <w:trPr/>
        <w:tc>
          <w:tcPr>
            <w:tcW w:w="5220" w:type="dxa"/>
            <w:tcBorders/>
          </w:tcPr>
          <w:p>
            <w:pPr>
              <w:pStyle w:val="Normal"/>
              <w:widowControl/>
              <w:rPr>
                <w:sz w:val="22"/>
              </w:rPr>
            </w:pPr>
            <w:r>
              <w:rPr>
                <w:sz w:val="22"/>
              </w:rPr>
              <w:t>Attention: ___________________________</w:t>
            </w:r>
          </w:p>
        </w:tc>
        <w:tc>
          <w:tcPr>
            <w:tcW w:w="5220" w:type="dxa"/>
            <w:tcBorders/>
          </w:tcPr>
          <w:p>
            <w:pPr>
              <w:pStyle w:val="Normal"/>
              <w:widowControl/>
              <w:rPr>
                <w:sz w:val="22"/>
              </w:rPr>
            </w:pPr>
            <w:r>
              <w:rPr>
                <w:sz w:val="22"/>
              </w:rPr>
              <w:t>_________________________________________</w:t>
            </w:r>
          </w:p>
        </w:tc>
      </w:tr>
      <w:tr>
        <w:trPr/>
        <w:tc>
          <w:tcPr>
            <w:tcW w:w="5220" w:type="dxa"/>
            <w:tcBorders/>
          </w:tcPr>
          <w:p>
            <w:pPr>
              <w:pStyle w:val="Normal"/>
              <w:widowControl/>
              <w:rPr>
                <w:sz w:val="22"/>
              </w:rPr>
            </w:pPr>
            <w:r>
              <w:rPr>
                <w:sz w:val="22"/>
              </w:rPr>
              <w:t>Fax: ________________________________</w:t>
            </w:r>
          </w:p>
        </w:tc>
        <w:tc>
          <w:tcPr>
            <w:tcW w:w="5220" w:type="dxa"/>
            <w:tcBorders/>
          </w:tcPr>
          <w:p>
            <w:pPr>
              <w:pStyle w:val="Normal"/>
              <w:widowControl/>
              <w:rPr>
                <w:sz w:val="22"/>
              </w:rPr>
            </w:pPr>
            <w:r>
              <w:rPr>
                <w:sz w:val="22"/>
              </w:rPr>
              <w:t>_________________________________________</w:t>
            </w:r>
          </w:p>
        </w:tc>
      </w:tr>
      <w:tr>
        <w:trPr/>
        <w:tc>
          <w:tcPr>
            <w:tcW w:w="5220" w:type="dxa"/>
            <w:tcBorders/>
          </w:tcPr>
          <w:p>
            <w:pPr>
              <w:pStyle w:val="Normal"/>
              <w:widowControl/>
              <w:rPr>
                <w:sz w:val="22"/>
              </w:rPr>
            </w:pPr>
            <w:r>
              <w:rPr>
                <w:sz w:val="22"/>
              </w:rPr>
              <w:t>Phone: ______________________________</w:t>
            </w:r>
          </w:p>
        </w:tc>
        <w:tc>
          <w:tcPr>
            <w:tcW w:w="5220" w:type="dxa"/>
            <w:tcBorders/>
          </w:tcPr>
          <w:p>
            <w:pPr>
              <w:pStyle w:val="Normal"/>
              <w:widowControl/>
              <w:rPr>
                <w:sz w:val="22"/>
              </w:rPr>
            </w:pPr>
            <w:r>
              <w:rPr>
                <w:sz w:val="22"/>
              </w:rPr>
              <w:t>_________________________________________</w:t>
            </w:r>
          </w:p>
        </w:tc>
      </w:tr>
    </w:tbl>
    <w:p>
      <w:pPr>
        <w:pStyle w:val="Normal"/>
        <w:widowControl/>
        <w:rPr>
          <w:sz w:val="22"/>
        </w:rPr>
      </w:pPr>
      <w:r>
        <w:rPr>
          <w:sz w:val="22"/>
        </w:rPr>
      </w:r>
    </w:p>
    <w:p>
      <w:pPr>
        <w:pStyle w:val="BodyText3"/>
        <w:widowControl/>
        <w:rPr/>
      </w:pPr>
      <w:r>
        <w:rPr/>
        <w:t>COUNTERPARTY: PLEASE PROVIDE ABOVE REQUESTED INFORMATION IF NOT PROVIDED PREVIOUSLY OR IF CHANGES HAVE OCCURRED</w:t>
      </w:r>
    </w:p>
    <w:p>
      <w:pPr>
        <w:pStyle w:val="Normal"/>
        <w:widowControl/>
        <w:jc w:val="both"/>
        <w:rPr/>
      </w:pPr>
      <w:r>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Snowfall Cap Option (Version 9.18.01)</w:t>
    </w:r>
  </w:p>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sz w:val="24"/>
      </w:rPr>
      <w:tab/>
    </w:r>
    <w:r>
      <w:rPr>
        <w:b/>
      </w:rPr>
      <w:t>CONFIDENTIAL DRAFT  DATED 9-18-01</w:t>
    </w:r>
  </w:p>
  <w:p>
    <w:pPr>
      <w:pStyle w:val="Header"/>
      <w:widowControl/>
      <w:rPr/>
    </w:pPr>
    <w:r>
      <w:rPr>
        <w:b/>
      </w:rPr>
      <w:tab/>
      <w:t>For discussion purposes only</w:t>
      <w:tab/>
      <w:tab/>
      <w:tab/>
      <w:t xml:space="preserve"> </w:t>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sz w:val="24"/>
    </w:rPr>
  </w:style>
  <w:style w:type="character" w:styleId="DefaultParagraphFont">
    <w:name w:val="Default Paragraph Font"/>
    <w:qFormat/>
    <w:rPr/>
  </w:style>
  <w:style w:type="character" w:styleId="Hyperlink">
    <w:name w:val="Hyperlink"/>
    <w:basedOn w:val="DefaultParagraphFont"/>
    <w:rPr>
      <w:color w:val="0000FF"/>
      <w:sz w:val="2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both"/>
    </w:pPr>
    <w:rPr>
      <w:color w:val="000000"/>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w:hAnsi="Arial" w:cs="Arial"/>
      <w:color w:val="000000"/>
    </w:rPr>
  </w:style>
  <w:style w:type="paragraph" w:styleId="BodyText2">
    <w:name w:val="Body Text 2"/>
    <w:basedOn w:val="Normal"/>
    <w:qFormat/>
    <w:pPr>
      <w:jc w:val="both"/>
    </w:pPr>
    <w:rPr>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2001-09-18T14:22:00Z</dcterms:created>
  <dc:creator>Lucy Ortiz</dc:creator>
  <dc:description/>
  <dc:language>en-CA</dc:language>
  <cp:lastModifiedBy>eessando</cp:lastModifiedBy>
  <cp:lastPrinted>2001-09-18T10:24:00Z</cp:lastPrinted>
  <dcterms:modified xsi:type="dcterms:W3CDTF">2001-09-18T14:28:00Z</dcterms:modified>
  <cp:revision>3</cp:revision>
  <dc:subject/>
  <dc:title> </dc:title>
</cp:coreProperties>
</file>