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6"/>
        <w:ind w:hanging="0" w:start="0"/>
        <w:rPr>
          <w:b w:val="false"/>
          <w:bCs w:val="false"/>
        </w:rPr>
      </w:pPr>
      <w:r>
        <w:rPr>
          <w:b w:val="false"/>
          <w:bCs w:val="false"/>
        </w:rPr>
        <w:t>October __, 2000</w:t>
      </w:r>
    </w:p>
    <w:p>
      <w:pPr>
        <w:pStyle w:val="Normal"/>
        <w:rPr>
          <w:b/>
          <w:bCs/>
          <w:sz w:val="20"/>
        </w:rPr>
      </w:pPr>
      <w:r>
        <w:rPr>
          <w:b/>
          <w:bCs/>
          <w:sz w:val="20"/>
        </w:rPr>
      </w:r>
    </w:p>
    <w:p>
      <w:pPr>
        <w:pStyle w:val="Normal"/>
        <w:jc w:val="both"/>
        <w:rPr>
          <w:rFonts w:ascii="Tms Rmn;Times New Roman" w:hAnsi="Tms Rmn;Times New Roman" w:cs="Tms Rmn;Times New Roman"/>
          <w:sz w:val="20"/>
        </w:rPr>
      </w:pPr>
      <w:r>
        <w:rPr>
          <w:rFonts w:cs="Tms Rmn;Times New Roman" w:ascii="Tms Rmn;Times New Roman" w:hAnsi="Tms Rmn;Times New Roman"/>
          <w:sz w:val="20"/>
        </w:rPr>
        <w:t>The Toa Reinsurance Company, Limited</w:t>
      </w:r>
    </w:p>
    <w:p>
      <w:pPr>
        <w:pStyle w:val="Normal"/>
        <w:jc w:val="both"/>
        <w:rPr>
          <w:sz w:val="20"/>
        </w:rPr>
      </w:pPr>
      <w:r>
        <w:rPr>
          <w:sz w:val="20"/>
        </w:rPr>
        <w:t>6, Kanda-Surugadai 3-chome</w:t>
      </w:r>
    </w:p>
    <w:p>
      <w:pPr>
        <w:pStyle w:val="Normal"/>
        <w:jc w:val="both"/>
        <w:rPr>
          <w:sz w:val="20"/>
        </w:rPr>
      </w:pPr>
      <w:r>
        <w:rPr>
          <w:sz w:val="20"/>
        </w:rPr>
        <w:t>Chiyoda-ku, Tokyo 101-8703</w:t>
      </w:r>
    </w:p>
    <w:p>
      <w:pPr>
        <w:pStyle w:val="Normal"/>
        <w:jc w:val="both"/>
        <w:rPr>
          <w:sz w:val="20"/>
        </w:rPr>
      </w:pPr>
      <w:r>
        <w:rPr>
          <w:sz w:val="20"/>
        </w:rPr>
        <w:t>Japan</w:t>
      </w:r>
    </w:p>
    <w:p>
      <w:pPr>
        <w:pStyle w:val="Normal"/>
        <w:rPr>
          <w:sz w:val="20"/>
        </w:rPr>
      </w:pPr>
      <w:r>
        <w:rPr>
          <w:sz w:val="20"/>
        </w:rPr>
      </w:r>
    </w:p>
    <w:p>
      <w:pPr>
        <w:pStyle w:val="Normal"/>
        <w:rPr>
          <w:sz w:val="20"/>
        </w:rPr>
      </w:pPr>
      <w:r>
        <w:rPr>
          <w:sz w:val="20"/>
        </w:rPr>
        <w:t>Attention: Mr. Tomonori Ono</w:t>
      </w:r>
    </w:p>
    <w:p>
      <w:pPr>
        <w:pStyle w:val="Normal"/>
        <w:rPr>
          <w:sz w:val="20"/>
        </w:rPr>
      </w:pPr>
      <w:r>
        <w:rPr>
          <w:sz w:val="20"/>
        </w:rPr>
      </w:r>
    </w:p>
    <w:p>
      <w:pPr>
        <w:pStyle w:val="Normal"/>
        <w:rPr>
          <w:sz w:val="20"/>
        </w:rPr>
      </w:pPr>
      <w:r>
        <w:rPr>
          <w:sz w:val="20"/>
        </w:rPr>
        <w:t xml:space="preserve">Fax No.: </w:t>
        <w:tab/>
        <w:t>03 3253 5214</w:t>
      </w:r>
    </w:p>
    <w:p>
      <w:pPr>
        <w:pStyle w:val="Normal"/>
        <w:rPr>
          <w:sz w:val="20"/>
        </w:rPr>
      </w:pPr>
      <w:r>
        <w:rPr>
          <w:sz w:val="20"/>
        </w:rPr>
        <w:t xml:space="preserve">Telephone No.: </w:t>
        <w:tab/>
        <w:t>03 3253 3852</w:t>
      </w:r>
    </w:p>
    <w:p>
      <w:pPr>
        <w:pStyle w:val="Normal"/>
        <w:rPr>
          <w:sz w:val="20"/>
        </w:rPr>
      </w:pPr>
      <w:r>
        <w:rPr>
          <w:sz w:val="20"/>
        </w:rPr>
      </w:r>
    </w:p>
    <w:p>
      <w:pPr>
        <w:pStyle w:val="Heading3"/>
        <w:ind w:start="0" w:end="0"/>
        <w:rPr>
          <w:sz w:val="22"/>
        </w:rPr>
      </w:pPr>
      <w:r>
        <w:rPr/>
        <w:t>Re:</w:t>
        <w:tab/>
        <w:t>WEATHER TRANSACTION TOKYO</w:t>
      </w:r>
      <w:r>
        <w:rPr>
          <w:b w:val="false"/>
        </w:rPr>
        <w:t xml:space="preserve"> </w:t>
      </w:r>
      <w:r>
        <w:rPr/>
        <w:t>Contract No. EJW 180001</w:t>
      </w:r>
    </w:p>
    <w:p>
      <w:pPr>
        <w:pStyle w:val="BodyText2"/>
        <w:rPr>
          <w:color w:val="000000"/>
          <w:sz w:val="22"/>
        </w:rPr>
      </w:pPr>
      <w:r>
        <w:rPr>
          <w:color w:val="000000"/>
          <w:sz w:val="22"/>
        </w:rPr>
      </w:r>
    </w:p>
    <w:p>
      <w:pPr>
        <w:pStyle w:val="BodyText2"/>
        <w:rPr>
          <w:color w:val="000000"/>
        </w:rPr>
      </w:pPr>
      <w:r>
        <w:rPr>
          <w:color w:val="000000"/>
        </w:rPr>
        <w:t>Dear Sirs:</w:t>
      </w:r>
    </w:p>
    <w:p>
      <w:pPr>
        <w:pStyle w:val="Normal"/>
        <w:rPr>
          <w:color w:val="000000"/>
          <w:sz w:val="20"/>
        </w:rPr>
      </w:pPr>
      <w:r>
        <w:rPr>
          <w:color w:val="000000"/>
          <w:sz w:val="20"/>
        </w:rPr>
      </w:r>
    </w:p>
    <w:p>
      <w:pPr>
        <w:pStyle w:val="Normal"/>
        <w:rPr>
          <w:sz w:val="20"/>
        </w:rPr>
      </w:pPr>
      <w:r>
        <w:rPr>
          <w:sz w:val="20"/>
        </w:rPr>
      </w:r>
    </w:p>
    <w:p>
      <w:pPr>
        <w:pStyle w:val="Normal"/>
        <w:jc w:val="both"/>
        <w:rPr/>
      </w:pPr>
      <w:r>
        <w:rPr>
          <w:rFonts w:cs="Tms Rmn;Times New Roman" w:ascii="Tms Rmn;Times New Roman" w:hAnsi="Tms Rmn;Times New Roman"/>
          <w:sz w:val="20"/>
        </w:rPr>
        <w:t>The purpose of this document is to confirm the terms and conditions of the transaction entered into between Enron  Japan Corp. (“</w:t>
      </w:r>
      <w:r>
        <w:rPr>
          <w:rFonts w:cs="Tms Rmn;Times New Roman" w:ascii="Tms Rmn;Times New Roman" w:hAnsi="Tms Rmn;Times New Roman"/>
          <w:b/>
          <w:sz w:val="20"/>
        </w:rPr>
        <w:t>Party A</w:t>
      </w:r>
      <w:r>
        <w:rPr>
          <w:rFonts w:cs="Tms Rmn;Times New Roman" w:ascii="Tms Rmn;Times New Roman" w:hAnsi="Tms Rmn;Times New Roman"/>
          <w:sz w:val="20"/>
        </w:rPr>
        <w:t>”) and The Toa Reinsurance Company, Limited (“</w:t>
      </w:r>
      <w:r>
        <w:rPr>
          <w:rFonts w:cs="Tms Rmn;Times New Roman" w:ascii="Tms Rmn;Times New Roman" w:hAnsi="Tms Rmn;Times New Roman"/>
          <w:b/>
          <w:sz w:val="20"/>
        </w:rPr>
        <w:t>Party B</w:t>
      </w:r>
      <w:r>
        <w:rPr>
          <w:rFonts w:cs="Tms Rmn;Times New Roman" w:ascii="Tms Rmn;Times New Roman" w:hAnsi="Tms Rmn;Times New Roman"/>
          <w:sz w:val="20"/>
        </w:rPr>
        <w:t xml:space="preserve">”) pursuant to a telephone conversation between Morten Erik Pettersen of Party A and Hitoshi Okamoto of Party B (“Transaction”) on the Trade Date.  </w:t>
      </w:r>
    </w:p>
    <w:p>
      <w:pPr>
        <w:pStyle w:val="Normal"/>
        <w:rPr>
          <w:rFonts w:ascii="Tms Rmn;Times New Roman" w:hAnsi="Tms Rmn;Times New Roman" w:cs="Tms Rmn;Times New Roman"/>
          <w:sz w:val="20"/>
        </w:rPr>
      </w:pPr>
      <w:r>
        <w:rPr>
          <w:rFonts w:cs="Tms Rmn;Times New Roman" w:ascii="Tms Rmn;Times New Roman" w:hAnsi="Tms Rmn;Times New Roman"/>
          <w:sz w:val="20"/>
        </w:rPr>
      </w:r>
    </w:p>
    <w:p>
      <w:pPr>
        <w:pStyle w:val="Header"/>
        <w:tabs>
          <w:tab w:val="clear" w:pos="4320"/>
          <w:tab w:val="clear" w:pos="8640"/>
        </w:tabs>
        <w:jc w:val="both"/>
        <w:rPr/>
      </w:pPr>
      <w:r>
        <w:rPr>
          <w:sz w:val="20"/>
        </w:rPr>
        <w:t>You and we agree to promptly negotiate in good faith and sign a 1992 multicurrency</w:t>
        <w:noBreakHyphen/>
        <w:t>cross border version of the ISDA Master Agreement (as published by International Swaps and Derivatives Association, Inc.) (“</w:t>
      </w:r>
      <w:r>
        <w:rPr>
          <w:b/>
          <w:sz w:val="20"/>
        </w:rPr>
        <w:t>ISDA Master Agreement</w:t>
      </w:r>
      <w:r>
        <w:rPr>
          <w:sz w:val="20"/>
        </w:rPr>
        <w:t>”) with such modifications as you and we shall in good faith agree.  The terms agreed to govern this Transaction and Confirmation will not prejudice the negotiation of the ISDA Master Agreement between us.</w:t>
      </w:r>
    </w:p>
    <w:p>
      <w:pPr>
        <w:pStyle w:val="Header"/>
        <w:tabs>
          <w:tab w:val="clear" w:pos="4320"/>
          <w:tab w:val="clear" w:pos="8640"/>
        </w:tabs>
        <w:jc w:val="both"/>
        <w:rPr>
          <w:sz w:val="20"/>
        </w:rPr>
      </w:pPr>
      <w:r>
        <w:rPr>
          <w:sz w:val="20"/>
        </w:rPr>
      </w:r>
    </w:p>
    <w:p>
      <w:pPr>
        <w:pStyle w:val="BodyTextIndent"/>
        <w:spacing w:before="0" w:after="0"/>
        <w:ind w:start="0" w:end="0"/>
        <w:rPr/>
      </w:pPr>
      <w:r>
        <w:rPr/>
        <w:t>Once an agreement based on the ISDA Master Agreement is signed, this Confirmation will be supplement to, form part of and be subject to that agreement as amended and supplemented from time to time.  All provisions contained in that agreement govern this Confirmation except as expressly modified below.</w:t>
      </w:r>
    </w:p>
    <w:p>
      <w:pPr>
        <w:pStyle w:val="BodyTextIndent"/>
        <w:spacing w:before="0" w:after="0"/>
        <w:ind w:start="0" w:end="0"/>
        <w:rPr/>
      </w:pPr>
      <w:r>
        <w:rPr/>
      </w:r>
    </w:p>
    <w:p>
      <w:pPr>
        <w:pStyle w:val="Normal"/>
        <w:jc w:val="both"/>
        <w:rPr>
          <w:color w:val="000000"/>
          <w:sz w:val="20"/>
        </w:rPr>
      </w:pPr>
      <w:r>
        <w:rPr>
          <w:sz w:val="20"/>
        </w:rPr>
        <w:t>Until that agreement is signed, this Confirmation and Transaction supplements, forms part of, and is subject to the terms contained in the ISDA Master Agreement (and forms a single agreement together with each other transaction between us also stated to supplement, form part of, and be subject to the terms contained in the ISDA Master Agreement) as if you and we had signed the ISDA Master Agreement without amendment subject to paragraphs 4 to 13 of this Confirmation.</w:t>
      </w:r>
    </w:p>
    <w:p>
      <w:pPr>
        <w:pStyle w:val="Normal"/>
        <w:rPr>
          <w:color w:val="000000"/>
          <w:sz w:val="20"/>
        </w:rPr>
      </w:pPr>
      <w:r>
        <w:rPr>
          <w:color w:val="000000"/>
          <w:sz w:val="20"/>
        </w:rPr>
      </w:r>
    </w:p>
    <w:p>
      <w:pPr>
        <w:pStyle w:val="Normal"/>
        <w:numPr>
          <w:ilvl w:val="0"/>
          <w:numId w:val="2"/>
        </w:numPr>
        <w:tabs>
          <w:tab w:val="left" w:pos="720" w:leader="none"/>
          <w:tab w:val="left" w:pos="3600" w:leader="none"/>
        </w:tabs>
        <w:ind w:hanging="720" w:start="720" w:end="0"/>
        <w:jc w:val="both"/>
        <w:rPr>
          <w:color w:val="000000"/>
          <w:sz w:val="20"/>
        </w:rPr>
      </w:pPr>
      <w:r>
        <w:rPr>
          <w:color w:val="000000"/>
          <w:sz w:val="20"/>
        </w:rPr>
        <w:t xml:space="preserve">The definitions and provisions contained in the 1991 ISDA Definitions and the 1993 ISDA Commodity Derivatives Definitions, </w:t>
      </w:r>
      <w:r>
        <w:rPr>
          <w:sz w:val="20"/>
        </w:rPr>
        <w:t>as such definitions may be amended, supplemented, replaced or modified from time to time</w:t>
      </w:r>
      <w:r>
        <w:rPr>
          <w:color w:val="000000"/>
          <w:sz w:val="20"/>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2"/>
        </w:numPr>
        <w:tabs>
          <w:tab w:val="left" w:pos="720" w:leader="none"/>
        </w:tabs>
        <w:ind w:hanging="720" w:start="720" w:end="0"/>
        <w:jc w:val="both"/>
        <w:rPr>
          <w:sz w:val="20"/>
        </w:rPr>
      </w:pP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0"/>
              </w:rPr>
            </w:pPr>
            <w:r>
              <w:rPr>
                <w:sz w:val="20"/>
              </w:rPr>
              <w:t>Transaction Type:</w:t>
            </w:r>
          </w:p>
        </w:tc>
        <w:tc>
          <w:tcPr>
            <w:tcW w:w="6408" w:type="dxa"/>
            <w:tcBorders/>
          </w:tcPr>
          <w:p>
            <w:pPr>
              <w:pStyle w:val="Normal"/>
              <w:jc w:val="both"/>
              <w:rPr>
                <w:sz w:val="20"/>
              </w:rPr>
            </w:pPr>
            <w:r>
              <w:rPr>
                <w:sz w:val="20"/>
              </w:rPr>
              <w:t>Heating Degree Day (“HDD”) Floor Option</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tcBorders/>
          </w:tcPr>
          <w:p>
            <w:pPr>
              <w:pStyle w:val="Normal"/>
              <w:jc w:val="both"/>
              <w:rPr>
                <w:sz w:val="20"/>
              </w:rPr>
            </w:pPr>
            <w:r>
              <w:rPr>
                <w:sz w:val="20"/>
              </w:rPr>
              <w:t>JP¥ 1,000,000 per HDD</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tcBorders/>
          </w:tcPr>
          <w:p>
            <w:pPr>
              <w:pStyle w:val="Normal"/>
              <w:jc w:val="both"/>
              <w:rPr>
                <w:bCs/>
                <w:sz w:val="20"/>
              </w:rPr>
            </w:pPr>
            <w:r>
              <w:rPr>
                <w:bCs/>
                <w:sz w:val="20"/>
              </w:rPr>
              <w:t xml:space="preserve">September 27, 2000 </w:t>
            </w:r>
          </w:p>
        </w:tc>
      </w:tr>
      <w:tr>
        <w:trPr/>
        <w:tc>
          <w:tcPr>
            <w:tcW w:w="3168" w:type="dxa"/>
            <w:tcBorders/>
          </w:tcPr>
          <w:p>
            <w:pPr>
              <w:pStyle w:val="Normal"/>
              <w:snapToGrid w:val="false"/>
              <w:jc w:val="both"/>
              <w:rPr>
                <w:bCs/>
                <w:sz w:val="20"/>
              </w:rPr>
            </w:pPr>
            <w:r>
              <w:rPr>
                <w:bCs/>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Effective Date:</w:t>
            </w:r>
          </w:p>
        </w:tc>
        <w:tc>
          <w:tcPr>
            <w:tcW w:w="6408" w:type="dxa"/>
            <w:tcBorders/>
          </w:tcPr>
          <w:p>
            <w:pPr>
              <w:pStyle w:val="Normal"/>
              <w:jc w:val="both"/>
              <w:rPr>
                <w:sz w:val="20"/>
              </w:rPr>
            </w:pPr>
            <w:r>
              <w:rPr>
                <w:sz w:val="20"/>
              </w:rPr>
              <w:t>9:00am JST, November 1, 2000</w:t>
            </w:r>
            <w:r>
              <w:rPr>
                <w:b/>
                <w:sz w:val="20"/>
              </w:rPr>
              <w:t xml:space="preserve"> </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tcBorders/>
          </w:tcPr>
          <w:p>
            <w:pPr>
              <w:pStyle w:val="Heading2"/>
              <w:ind w:hanging="0" w:start="0"/>
              <w:rPr>
                <w:color w:val="000000"/>
              </w:rPr>
            </w:pPr>
            <w:r>
              <w:rPr>
                <w:b w:val="false"/>
                <w:color w:val="000000"/>
              </w:rPr>
              <w:t>1330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Termination Date:</w:t>
            </w:r>
          </w:p>
        </w:tc>
        <w:tc>
          <w:tcPr>
            <w:tcW w:w="6408" w:type="dxa"/>
            <w:tcBorders/>
          </w:tcPr>
          <w:p>
            <w:pPr>
              <w:pStyle w:val="Normal"/>
              <w:jc w:val="both"/>
              <w:rPr/>
            </w:pPr>
            <w:r>
              <w:rPr>
                <w:sz w:val="20"/>
              </w:rPr>
              <w:t>8:59 am JST, April 1, 2001</w:t>
            </w:r>
            <w:r>
              <w:rPr>
                <w:b/>
                <w:sz w:val="20"/>
              </w:rPr>
              <w:t xml:space="preserve"> </w:t>
            </w:r>
          </w:p>
        </w:tc>
      </w:tr>
      <w:tr>
        <w:trPr/>
        <w:tc>
          <w:tcPr>
            <w:tcW w:w="3168" w:type="dxa"/>
            <w:tcBorders/>
          </w:tcPr>
          <w:p>
            <w:pPr>
              <w:pStyle w:val="Normal"/>
              <w:snapToGrid w:val="false"/>
              <w:jc w:val="both"/>
              <w:rPr>
                <w:b/>
                <w:sz w:val="20"/>
              </w:rPr>
            </w:pPr>
            <w:r>
              <w:rPr>
                <w:b/>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tcBorders/>
          </w:tcPr>
          <w:p>
            <w:pPr>
              <w:pStyle w:val="Normal"/>
              <w:snapToGrid w:val="false"/>
              <w:jc w:val="both"/>
              <w:rPr>
                <w:sz w:val="20"/>
              </w:rPr>
            </w:pPr>
            <w:r>
              <w:rPr>
                <w:sz w:val="20"/>
              </w:rPr>
            </w:r>
          </w:p>
          <w:p>
            <w:pPr>
              <w:pStyle w:val="Normal"/>
              <w:jc w:val="both"/>
              <w:rPr/>
            </w:pPr>
            <w:r>
              <w:rPr>
                <w:b/>
                <w:sz w:val="20"/>
              </w:rPr>
              <w:t xml:space="preserve">Party A </w:t>
            </w:r>
            <w:r>
              <w:rPr>
                <w:sz w:val="20"/>
              </w:rPr>
              <w:t xml:space="preserve">shall pay </w:t>
            </w:r>
            <w:r>
              <w:rPr>
                <w:b/>
                <w:sz w:val="20"/>
              </w:rPr>
              <w:t>Party B JP¥16,000,000</w:t>
            </w:r>
            <w:r>
              <w:rPr>
                <w:sz w:val="20"/>
              </w:rPr>
              <w:t xml:space="preserve"> two Business Days after this Confirmation has been duly executed by both parties.</w:t>
            </w:r>
          </w:p>
          <w:p>
            <w:pPr>
              <w:pStyle w:val="Normal"/>
              <w:jc w:val="both"/>
              <w:rPr>
                <w:sz w:val="20"/>
              </w:rPr>
            </w:pPr>
            <w:r>
              <w:rPr>
                <w:sz w:val="20"/>
              </w:rPr>
            </w:r>
          </w:p>
        </w:tc>
      </w:tr>
      <w:tr>
        <w:trPr/>
        <w:tc>
          <w:tcPr>
            <w:tcW w:w="3168" w:type="dxa"/>
            <w:tcBorders/>
          </w:tcPr>
          <w:p>
            <w:pPr>
              <w:pStyle w:val="Normal"/>
              <w:jc w:val="both"/>
              <w:rPr>
                <w:sz w:val="20"/>
              </w:rPr>
            </w:pPr>
            <w:r>
              <w:rPr>
                <w:sz w:val="20"/>
              </w:rPr>
              <w:t>Calculation Period:</w:t>
            </w:r>
          </w:p>
        </w:tc>
        <w:tc>
          <w:tcPr>
            <w:tcW w:w="6408" w:type="dxa"/>
            <w:tcBorders/>
          </w:tcPr>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Date(s):</w:t>
            </w:r>
          </w:p>
        </w:tc>
        <w:tc>
          <w:tcPr>
            <w:tcW w:w="6408" w:type="dxa"/>
            <w:tcBorders/>
          </w:tcPr>
          <w:p>
            <w:pPr>
              <w:pStyle w:val="Normal"/>
              <w:keepNext w:val="true"/>
              <w:jc w:val="both"/>
              <w:rPr>
                <w:sz w:val="20"/>
              </w:rPr>
            </w:pPr>
            <w:r>
              <w:rPr>
                <w:sz w:val="20"/>
              </w:rPr>
              <w:t>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w:t>
            </w:r>
          </w:p>
          <w:p>
            <w:pPr>
              <w:pStyle w:val="Normal"/>
              <w:jc w:val="both"/>
              <w:rPr>
                <w:sz w:val="20"/>
              </w:rPr>
            </w:pPr>
            <w:r>
              <w:rPr>
                <w:sz w:val="20"/>
              </w:rPr>
            </w:r>
          </w:p>
        </w:tc>
        <w:tc>
          <w:tcPr>
            <w:tcW w:w="6408" w:type="dxa"/>
            <w:tcBorders/>
          </w:tcPr>
          <w:p>
            <w:pPr>
              <w:pStyle w:val="Normal"/>
              <w:jc w:val="both"/>
              <w:rPr>
                <w:b/>
                <w:sz w:val="20"/>
              </w:rPr>
            </w:pPr>
            <w:r>
              <w:rPr>
                <w:b/>
                <w:sz w:val="20"/>
              </w:rPr>
              <w:t>Party B</w:t>
            </w:r>
          </w:p>
          <w:p>
            <w:pPr>
              <w:pStyle w:val="Normal"/>
              <w:jc w:val="both"/>
              <w:rPr>
                <w:b/>
                <w:sz w:val="20"/>
              </w:rPr>
            </w:pPr>
            <w:r>
              <w:rPr>
                <w:b/>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w:t>
            </w:r>
          </w:p>
          <w:p>
            <w:pPr>
              <w:pStyle w:val="Normal"/>
              <w:jc w:val="both"/>
              <w:rPr>
                <w:sz w:val="20"/>
              </w:rPr>
            </w:pPr>
            <w:r>
              <w:rPr>
                <w:sz w:val="20"/>
              </w:rPr>
            </w:r>
          </w:p>
        </w:tc>
        <w:tc>
          <w:tcPr>
            <w:tcW w:w="6408" w:type="dxa"/>
            <w:tcBorders/>
          </w:tcPr>
          <w:p>
            <w:pPr>
              <w:pStyle w:val="Normal"/>
              <w:jc w:val="both"/>
              <w:rPr>
                <w:b/>
                <w:sz w:val="20"/>
              </w:rPr>
            </w:pPr>
            <w:r>
              <w:rPr>
                <w:b/>
                <w:sz w:val="20"/>
              </w:rPr>
              <w:t>Party A</w:t>
            </w:r>
          </w:p>
          <w:p>
            <w:pPr>
              <w:pStyle w:val="Normal"/>
              <w:jc w:val="both"/>
              <w:rPr>
                <w:b/>
                <w:sz w:val="20"/>
              </w:rPr>
            </w:pPr>
            <w:r>
              <w:rPr>
                <w:b/>
                <w:sz w:val="20"/>
              </w:rPr>
            </w:r>
          </w:p>
        </w:tc>
      </w:tr>
      <w:tr>
        <w:trPr/>
        <w:tc>
          <w:tcPr>
            <w:tcW w:w="3168" w:type="dxa"/>
            <w:tcBorders/>
          </w:tcPr>
          <w:p>
            <w:pPr>
              <w:pStyle w:val="Normal"/>
              <w:jc w:val="both"/>
              <w:rPr>
                <w:sz w:val="20"/>
              </w:rPr>
            </w:pPr>
            <w:r>
              <w:rPr>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sz w:val="20"/>
              </w:rPr>
              <w:t>For a Reference Weather Station, HDD for each day is equal to the greater of (i) the Reference Basis minus the non-rounded average of the daily maximum and daily minimum temperatures in Reference Degrees from and including 9:00 AM JST on that day to and including 8:59 AM JST on the next day local time as measured by Reporting Service, and reported by the Reporting Agency, for the Reference Weather Station or (ii) zero.</w:t>
            </w:r>
            <w:r>
              <w:rPr/>
              <w:t xml:space="preserve"> </w:t>
            </w:r>
          </w:p>
          <w:p>
            <w:pPr>
              <w:pStyle w:val="Normal"/>
              <w:jc w:val="both"/>
              <w:rPr>
                <w:sz w:val="20"/>
              </w:rPr>
            </w:pPr>
            <w:r>
              <w:rPr>
                <w:sz w:val="20"/>
              </w:rPr>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Heading2"/>
              <w:ind w:hanging="0" w:start="0"/>
              <w:rPr>
                <w:b w:val="false"/>
                <w:color w:val="000000"/>
              </w:rPr>
            </w:pPr>
            <w:r>
              <w:rPr>
                <w:b w:val="false"/>
                <w:color w:val="000000"/>
              </w:rPr>
              <w:t>Otemachi, Tokyo, Japan, Reporting Service Number 2950, IWMO Station Number 47662</w:t>
            </w:r>
          </w:p>
        </w:tc>
      </w:tr>
      <w:tr>
        <w:trPr/>
        <w:tc>
          <w:tcPr>
            <w:tcW w:w="3168" w:type="dxa"/>
            <w:tcBorders/>
          </w:tcPr>
          <w:p>
            <w:pPr>
              <w:pStyle w:val="Normal"/>
              <w:snapToGrid w:val="false"/>
              <w:jc w:val="both"/>
              <w:rPr>
                <w:b w:val="false"/>
                <w:color w:val="000000"/>
                <w:sz w:val="20"/>
              </w:rPr>
            </w:pPr>
            <w:r>
              <w:rPr>
                <w:b w:val="false"/>
                <w:color w:val="000000"/>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 (“FRWS”):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sz w:val="20"/>
              </w:rPr>
            </w:pPr>
            <w:r>
              <w:rPr>
                <w:sz w:val="20"/>
              </w:rPr>
            </w:r>
          </w:p>
          <w:p>
            <w:pPr>
              <w:pStyle w:val="Normal"/>
              <w:numPr>
                <w:ilvl w:val="0"/>
                <w:numId w:val="4"/>
              </w:numPr>
              <w:jc w:val="both"/>
              <w:rPr>
                <w:sz w:val="20"/>
              </w:rPr>
            </w:pPr>
            <w:r>
              <w:rPr>
                <w:sz w:val="20"/>
              </w:rPr>
              <w:t>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w:t>
            </w:r>
            <w:r>
              <w:rPr>
                <w:sz w:val="22"/>
              </w:rPr>
              <w:t xml:space="preserve"> </w:t>
            </w:r>
            <w:r>
              <w:rPr>
                <w:sz w:val="20"/>
              </w:rPr>
              <w:t xml:space="preserve">shall be determined, which average temperature shall be rounded using the Rounding Convention; </w:t>
            </w:r>
          </w:p>
          <w:p>
            <w:pPr>
              <w:pStyle w:val="Normal"/>
              <w:numPr>
                <w:ilvl w:val="0"/>
                <w:numId w:val="4"/>
              </w:numPr>
              <w:jc w:val="both"/>
              <w:rPr>
                <w:sz w:val="20"/>
              </w:rPr>
            </w:pPr>
            <w:r>
              <w:rPr>
                <w:sz w:val="20"/>
              </w:rPr>
              <w:t>In accordance with the above procedures, the daily maximum or daily minimum temperature as appropriate shall be determined for the corresponding day of each of the previous 30 years at the Reporting Agency weather station at Reporting Service weather station at Yokohama Reporting Service Number 2954 IWMO Station Number 47670 (the “Fallback Reference Weather Station” or “FRWS”), (or in the event such data is not available, from the closest geographical location that publishes data for that period 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4"/>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4"/>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 and </w:t>
            </w:r>
          </w:p>
          <w:p>
            <w:pPr>
              <w:pStyle w:val="Normal"/>
              <w:numPr>
                <w:ilvl w:val="0"/>
                <w:numId w:val="4"/>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tcBorders/>
          </w:tcPr>
          <w:p>
            <w:pPr>
              <w:pStyle w:val="Normal"/>
              <w:jc w:val="both"/>
              <w:rPr/>
            </w:pPr>
            <w:r>
              <w:rPr>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corrected number(s) shall be obtained from the Reporting Agency. Notwithstanding the foregoing, if the Reporting Agency does not issue data for the RWS, then the procedures set forth under "Fallback Reference Weather Station(s)" shall be utilized to determine the missing data.</w:t>
            </w:r>
          </w:p>
          <w:p>
            <w:pPr>
              <w:pStyle w:val="Normal"/>
              <w:jc w:val="both"/>
              <w:rPr>
                <w:sz w:val="20"/>
              </w:rPr>
            </w:pPr>
            <w:r>
              <w:rPr>
                <w:sz w:val="20"/>
              </w:rPr>
            </w:r>
          </w:p>
        </w:tc>
      </w:tr>
      <w:tr>
        <w:trPr/>
        <w:tc>
          <w:tcPr>
            <w:tcW w:w="3168" w:type="dxa"/>
            <w:tcBorders/>
          </w:tcPr>
          <w:p>
            <w:pPr>
              <w:pStyle w:val="Normal"/>
              <w:jc w:val="both"/>
              <w:rPr>
                <w:sz w:val="20"/>
              </w:rPr>
            </w:pPr>
            <w:r>
              <w:rPr>
                <w:sz w:val="20"/>
              </w:rPr>
              <w:t>Strike Amount Differential:</w:t>
            </w:r>
          </w:p>
        </w:tc>
        <w:tc>
          <w:tcPr>
            <w:tcW w:w="6408" w:type="dxa"/>
            <w:tcBorders/>
          </w:tcPr>
          <w:p>
            <w:pPr>
              <w:pStyle w:val="Normal"/>
              <w:jc w:val="both"/>
              <w:rPr>
                <w:sz w:val="20"/>
              </w:rPr>
            </w:pPr>
            <w:r>
              <w:rPr>
                <w:sz w:val="20"/>
              </w:rPr>
              <w:t>The amount equal to the greater of (i) the Strike Amount minus the Floating Amount and (ii) zero.</w:t>
            </w:r>
          </w:p>
          <w:p>
            <w:pPr>
              <w:pStyle w:val="Normal"/>
              <w:jc w:val="both"/>
              <w:rPr>
                <w:sz w:val="20"/>
              </w:rPr>
            </w:pPr>
            <w:r>
              <w:rPr>
                <w:sz w:val="20"/>
              </w:rPr>
            </w:r>
          </w:p>
        </w:tc>
      </w:tr>
      <w:tr>
        <w:trPr/>
        <w:tc>
          <w:tcPr>
            <w:tcW w:w="3168" w:type="dxa"/>
            <w:tcBorders/>
          </w:tcPr>
          <w:p>
            <w:pPr>
              <w:pStyle w:val="Normal"/>
              <w:jc w:val="both"/>
              <w:rPr>
                <w:sz w:val="20"/>
              </w:rPr>
            </w:pPr>
            <w:r>
              <w:rPr>
                <w:sz w:val="20"/>
              </w:rPr>
              <w:t>Payment Amount:</w:t>
            </w:r>
          </w:p>
        </w:tc>
        <w:tc>
          <w:tcPr>
            <w:tcW w:w="6408" w:type="dxa"/>
            <w:tcBorders/>
          </w:tcPr>
          <w:p>
            <w:pPr>
              <w:pStyle w:val="Normal"/>
              <w:keepNext w:val="true"/>
              <w:keepLines/>
              <w:jc w:val="both"/>
              <w:rPr/>
            </w:pPr>
            <w:r>
              <w:rPr>
                <w:sz w:val="20"/>
              </w:rPr>
              <w:t xml:space="preserve">Notwithstanding any provision of the Agreement to the contrary, if the Floating Amount is less than the Strike Amount, the Floating Amount Payer shall pay the Fixed Amount Payer an amount in Japanese Yen equal to the product of (i) the Notional Amount and (ii) the Strike Amount Differential, which amount shall be due and payable on the applicable Payment Date, </w:t>
            </w:r>
            <w:r>
              <w:rPr>
                <w:b/>
                <w:sz w:val="20"/>
              </w:rPr>
              <w:t>provided, however</w:t>
            </w:r>
            <w:r>
              <w:rPr>
                <w:sz w:val="20"/>
              </w:rPr>
              <w:t>, that the maximum amount payable by the Floating Amount Payer shall not exceed JP¥100,000,000.</w:t>
            </w:r>
          </w:p>
        </w:tc>
      </w:tr>
    </w:tbl>
    <w:p>
      <w:pPr>
        <w:pStyle w:val="Normal"/>
        <w:jc w:val="both"/>
        <w:rPr>
          <w:sz w:val="20"/>
        </w:rPr>
      </w:pPr>
      <w:r>
        <w:rPr>
          <w:sz w:val="20"/>
        </w:rPr>
      </w:r>
      <w:r>
        <w:br w:type="page"/>
      </w:r>
    </w:p>
    <w:p>
      <w:pPr>
        <w:pStyle w:val="BodyText2"/>
        <w:tabs>
          <w:tab w:val="left" w:pos="360" w:leader="none"/>
          <w:tab w:val="left" w:pos="720" w:leader="none"/>
        </w:tabs>
        <w:rPr/>
      </w:pPr>
      <w:r>
        <w:rPr>
          <w:bCs/>
          <w:color w:val="000000"/>
        </w:rPr>
        <w:t>3.</w:t>
      </w:r>
      <w:r>
        <w:rPr>
          <w:b/>
          <w:color w:val="000000"/>
        </w:rPr>
        <w:t xml:space="preserve"> </w:t>
        <w:tab/>
        <w:tab/>
        <w:t xml:space="preserve"> </w:t>
      </w:r>
      <w:r>
        <w:rPr>
          <w:b/>
          <w:color w:val="000000"/>
          <w:u w:val="single"/>
        </w:rPr>
        <w:t>Account Details:</w:t>
      </w:r>
    </w:p>
    <w:p>
      <w:pPr>
        <w:pStyle w:val="BodyText2"/>
        <w:rPr>
          <w:b/>
          <w:color w:val="000000"/>
          <w:u w:val="single"/>
        </w:rPr>
      </w:pPr>
      <w:r>
        <w:rPr>
          <w:b/>
          <w:color w:val="000000"/>
          <w:u w:val="single"/>
        </w:rPr>
      </w:r>
    </w:p>
    <w:p>
      <w:pPr>
        <w:pStyle w:val="BodyText2"/>
        <w:ind w:firstLine="360" w:start="1080" w:end="0"/>
        <w:rPr>
          <w:color w:val="000000"/>
          <w:u w:val="single"/>
        </w:rPr>
      </w:pPr>
      <w:r>
        <w:rPr>
          <w:color w:val="000000"/>
          <w:u w:val="single"/>
        </w:rPr>
        <w:t>Payments to Party A:</w:t>
      </w:r>
    </w:p>
    <w:p>
      <w:pPr>
        <w:pStyle w:val="BodyText2"/>
        <w:ind w:start="360" w:end="0"/>
        <w:rPr/>
      </w:pPr>
      <w:r>
        <w:rPr/>
        <w:tab/>
        <w:tab/>
        <w:tab/>
      </w:r>
    </w:p>
    <w:tbl>
      <w:tblPr>
        <w:tblW w:w="10998" w:type="dxa"/>
        <w:jc w:val="center"/>
        <w:tblInd w:w="0"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151" w:end="-468"/>
              <w:rPr>
                <w:sz w:val="20"/>
              </w:rPr>
            </w:pPr>
            <w:r>
              <w:rPr>
                <w:sz w:val="20"/>
              </w:rPr>
              <w:t xml:space="preserve">Pay </w:t>
            </w:r>
          </w:p>
        </w:tc>
        <w:tc>
          <w:tcPr>
            <w:tcW w:w="5490" w:type="dxa"/>
            <w:gridSpan w:val="2"/>
            <w:tcBorders/>
          </w:tcPr>
          <w:p>
            <w:pPr>
              <w:pStyle w:val="Normal"/>
              <w:ind w:hanging="1899" w:start="2151" w:end="-468"/>
              <w:rPr>
                <w:sz w:val="20"/>
              </w:rPr>
            </w:pPr>
            <w:r>
              <w:rPr>
                <w:sz w:val="20"/>
              </w:rPr>
              <w:t>: Enron Japan  Corp.</w:t>
            </w:r>
          </w:p>
        </w:tc>
      </w:tr>
      <w:tr>
        <w:trPr/>
        <w:tc>
          <w:tcPr>
            <w:tcW w:w="5490" w:type="dxa"/>
            <w:tcBorders/>
          </w:tcPr>
          <w:p>
            <w:pPr>
              <w:pStyle w:val="Normal"/>
              <w:snapToGrid w:val="false"/>
              <w:ind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ind w:start="2151" w:end="-468"/>
              <w:rPr>
                <w:sz w:val="20"/>
              </w:rPr>
            </w:pPr>
            <w:r>
              <w:rPr>
                <w:sz w:val="20"/>
              </w:rPr>
              <w:t>For the Account of</w:t>
            </w:r>
          </w:p>
        </w:tc>
        <w:tc>
          <w:tcPr>
            <w:tcW w:w="5490" w:type="dxa"/>
            <w:gridSpan w:val="2"/>
            <w:tcBorders/>
          </w:tcPr>
          <w:p>
            <w:pPr>
              <w:pStyle w:val="Normal"/>
              <w:ind w:hanging="1899" w:start="2151" w:end="-468"/>
              <w:rPr>
                <w:sz w:val="20"/>
              </w:rPr>
            </w:pPr>
            <w:r>
              <w:rPr>
                <w:sz w:val="20"/>
              </w:rPr>
              <w:t>: Chase Manhattan Bank, Tokyo Branch</w:t>
            </w:r>
          </w:p>
        </w:tc>
      </w:tr>
      <w:tr>
        <w:trPr/>
        <w:tc>
          <w:tcPr>
            <w:tcW w:w="5490" w:type="dxa"/>
            <w:tcBorders/>
          </w:tcPr>
          <w:p>
            <w:pPr>
              <w:pStyle w:val="Normal"/>
              <w:snapToGrid w:val="false"/>
              <w:ind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ind w:start="2151" w:end="-468"/>
              <w:rPr>
                <w:sz w:val="20"/>
              </w:rPr>
            </w:pPr>
            <w:r>
              <w:rPr>
                <w:sz w:val="20"/>
              </w:rPr>
              <w:t>Account Number</w:t>
            </w:r>
          </w:p>
        </w:tc>
        <w:tc>
          <w:tcPr>
            <w:tcW w:w="5490" w:type="dxa"/>
            <w:gridSpan w:val="2"/>
            <w:tcBorders/>
          </w:tcPr>
          <w:p>
            <w:pPr>
              <w:pStyle w:val="Normal"/>
              <w:ind w:hanging="1899" w:start="2151" w:end="-468"/>
              <w:rPr>
                <w:sz w:val="20"/>
              </w:rPr>
            </w:pPr>
            <w:r>
              <w:rPr>
                <w:sz w:val="20"/>
              </w:rPr>
              <w:t>: 0110004033</w:t>
            </w:r>
          </w:p>
          <w:p>
            <w:pPr>
              <w:pStyle w:val="Normal"/>
              <w:ind w:hanging="1899" w:start="2151" w:end="-468"/>
              <w:rPr>
                <w:sz w:val="20"/>
              </w:rPr>
            </w:pPr>
            <w:r>
              <w:rPr>
                <w:sz w:val="20"/>
              </w:rPr>
            </w:r>
          </w:p>
        </w:tc>
      </w:tr>
      <w:tr>
        <w:trPr/>
        <w:tc>
          <w:tcPr>
            <w:tcW w:w="5499" w:type="dxa"/>
            <w:gridSpan w:val="2"/>
            <w:tcBorders/>
          </w:tcPr>
          <w:p>
            <w:pPr>
              <w:pStyle w:val="Normal"/>
              <w:keepNext w:val="true"/>
              <w:ind w:hanging="1800" w:start="2151" w:end="-468"/>
              <w:rPr>
                <w:sz w:val="20"/>
              </w:rPr>
            </w:pPr>
            <w:r>
              <w:rPr>
                <w:sz w:val="20"/>
              </w:rPr>
              <w:tab/>
            </w:r>
            <w:r>
              <w:rPr>
                <w:sz w:val="20"/>
                <w:u w:val="single"/>
              </w:rPr>
              <w:t>Payments to Party B:</w:t>
            </w:r>
          </w:p>
        </w:tc>
        <w:tc>
          <w:tcPr>
            <w:tcW w:w="5499" w:type="dxa"/>
            <w:tcBorders/>
          </w:tcPr>
          <w:p>
            <w:pPr>
              <w:pStyle w:val="Normal"/>
              <w:keepNext w:val="true"/>
              <w:snapToGrid w:val="false"/>
              <w:ind w:start="2151" w:end="-468"/>
              <w:rPr>
                <w:sz w:val="20"/>
              </w:rPr>
            </w:pPr>
            <w:r>
              <w:rPr>
                <w:sz w:val="20"/>
              </w:rPr>
            </w:r>
          </w:p>
        </w:tc>
      </w:tr>
      <w:tr>
        <w:trPr/>
        <w:tc>
          <w:tcPr>
            <w:tcW w:w="5490" w:type="dxa"/>
            <w:tcBorders/>
          </w:tcPr>
          <w:p>
            <w:pPr>
              <w:pStyle w:val="Normal"/>
              <w:keepNext w:val="true"/>
              <w:snapToGrid w:val="false"/>
              <w:ind w:hanging="2160" w:start="2151" w:end="-468"/>
              <w:rPr>
                <w:sz w:val="20"/>
              </w:rPr>
            </w:pPr>
            <w:r>
              <w:rPr>
                <w:sz w:val="20"/>
              </w:rPr>
            </w:r>
          </w:p>
        </w:tc>
        <w:tc>
          <w:tcPr>
            <w:tcW w:w="5490" w:type="dxa"/>
            <w:gridSpan w:val="2"/>
            <w:tcBorders/>
          </w:tcPr>
          <w:p>
            <w:pPr>
              <w:pStyle w:val="Normal"/>
              <w:keepNext w:val="true"/>
              <w:tabs>
                <w:tab w:val="clear" w:pos="720"/>
                <w:tab w:val="left" w:pos="360" w:leader="none"/>
              </w:tabs>
              <w:ind w:hanging="3582" w:start="2151" w:end="-468"/>
              <w:rPr>
                <w:sz w:val="20"/>
              </w:rPr>
            </w:pPr>
            <w:r>
              <w:rPr>
                <w:sz w:val="20"/>
              </w:rPr>
              <w:t xml:space="preserve">: </w:t>
            </w:r>
          </w:p>
        </w:tc>
      </w:tr>
      <w:tr>
        <w:trPr/>
        <w:tc>
          <w:tcPr>
            <w:tcW w:w="5490" w:type="dxa"/>
            <w:tcBorders/>
          </w:tcPr>
          <w:p>
            <w:pPr>
              <w:pStyle w:val="Normal"/>
              <w:keepNext w:val="true"/>
              <w:ind w:start="2151" w:end="-468"/>
              <w:rPr>
                <w:sz w:val="20"/>
              </w:rPr>
            </w:pPr>
            <w:r>
              <w:rPr>
                <w:sz w:val="20"/>
              </w:rPr>
              <w:t xml:space="preserve">Pay                                                                                                                                                 </w:t>
            </w:r>
          </w:p>
        </w:tc>
        <w:tc>
          <w:tcPr>
            <w:tcW w:w="5490" w:type="dxa"/>
            <w:gridSpan w:val="2"/>
            <w:tcBorders/>
          </w:tcPr>
          <w:p>
            <w:pPr>
              <w:pStyle w:val="Normal"/>
              <w:ind w:hanging="1899" w:start="2151" w:end="-468"/>
              <w:rPr>
                <w:sz w:val="20"/>
              </w:rPr>
            </w:pPr>
            <w:r>
              <w:rPr>
                <w:sz w:val="20"/>
              </w:rPr>
              <w:t>: The Toa Reinsurance Company, Limited.</w:t>
            </w:r>
          </w:p>
        </w:tc>
      </w:tr>
      <w:tr>
        <w:trPr/>
        <w:tc>
          <w:tcPr>
            <w:tcW w:w="5490" w:type="dxa"/>
            <w:tcBorders/>
          </w:tcPr>
          <w:p>
            <w:pPr>
              <w:pStyle w:val="Normal"/>
              <w:keepNext w:val="true"/>
              <w:snapToGrid w:val="false"/>
              <w:ind w:hanging="2160"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keepNext w:val="true"/>
              <w:ind w:start="2151" w:end="-468"/>
              <w:rPr>
                <w:sz w:val="20"/>
              </w:rPr>
            </w:pPr>
            <w:r>
              <w:rPr>
                <w:sz w:val="20"/>
              </w:rPr>
              <w:t>For the Account of</w:t>
            </w:r>
          </w:p>
        </w:tc>
        <w:tc>
          <w:tcPr>
            <w:tcW w:w="5490" w:type="dxa"/>
            <w:gridSpan w:val="2"/>
            <w:tcBorders/>
          </w:tcPr>
          <w:p>
            <w:pPr>
              <w:pStyle w:val="Normal"/>
              <w:ind w:hanging="1899" w:start="2151" w:end="-468"/>
              <w:rPr>
                <w:sz w:val="20"/>
              </w:rPr>
            </w:pPr>
            <w:r>
              <w:rPr>
                <w:sz w:val="20"/>
              </w:rPr>
              <w:t>: The Bank of Tokyo-Mitsubishi, Limited, Kanda Branch</w:t>
            </w:r>
          </w:p>
        </w:tc>
      </w:tr>
      <w:tr>
        <w:trPr/>
        <w:tc>
          <w:tcPr>
            <w:tcW w:w="5490" w:type="dxa"/>
            <w:tcBorders/>
          </w:tcPr>
          <w:p>
            <w:pPr>
              <w:pStyle w:val="Normal"/>
              <w:keepNext w:val="true"/>
              <w:snapToGrid w:val="false"/>
              <w:ind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keepNext w:val="true"/>
              <w:ind w:start="2151" w:end="-468"/>
              <w:rPr>
                <w:sz w:val="20"/>
              </w:rPr>
            </w:pPr>
            <w:r>
              <w:rPr>
                <w:sz w:val="20"/>
              </w:rPr>
              <w:t>Account Number</w:t>
            </w:r>
          </w:p>
        </w:tc>
        <w:tc>
          <w:tcPr>
            <w:tcW w:w="5490" w:type="dxa"/>
            <w:gridSpan w:val="2"/>
            <w:tcBorders/>
          </w:tcPr>
          <w:p>
            <w:pPr>
              <w:pStyle w:val="Normal"/>
              <w:ind w:hanging="1899" w:start="2151" w:end="-468"/>
              <w:rPr>
                <w:sz w:val="20"/>
              </w:rPr>
            </w:pPr>
            <w:r>
              <w:rPr>
                <w:sz w:val="20"/>
              </w:rPr>
              <w:t>: 0900005</w:t>
            </w:r>
          </w:p>
          <w:p>
            <w:pPr>
              <w:pStyle w:val="Normal"/>
              <w:ind w:hanging="1899" w:start="2151" w:end="-468"/>
              <w:rPr>
                <w:sz w:val="20"/>
              </w:rPr>
            </w:pPr>
            <w:r>
              <w:rPr>
                <w:sz w:val="20"/>
              </w:rPr>
            </w:r>
          </w:p>
        </w:tc>
      </w:tr>
    </w:tbl>
    <w:p>
      <w:pPr>
        <w:pStyle w:val="Normal"/>
        <w:jc w:val="both"/>
        <w:rPr>
          <w:sz w:val="20"/>
        </w:rPr>
      </w:pPr>
      <w:r>
        <w:rPr>
          <w:sz w:val="20"/>
        </w:rPr>
      </w:r>
    </w:p>
    <w:p>
      <w:pPr>
        <w:pStyle w:val="Normal"/>
        <w:keepNext w:val="true"/>
        <w:numPr>
          <w:ilvl w:val="0"/>
          <w:numId w:val="0"/>
        </w:numPr>
        <w:tabs>
          <w:tab w:val="clear" w:pos="720"/>
          <w:tab w:val="left" w:pos="180" w:leader="none"/>
        </w:tabs>
        <w:spacing w:before="0" w:after="240"/>
        <w:ind w:hanging="709" w:start="709" w:end="0"/>
        <w:jc w:val="both"/>
        <w:outlineLvl w:val="0"/>
        <w:rPr/>
      </w:pPr>
      <w:r>
        <w:rPr>
          <w:bCs/>
          <w:sz w:val="20"/>
        </w:rPr>
        <w:t xml:space="preserve">4. </w:t>
        <w:tab/>
      </w:r>
      <w:r>
        <w:rPr>
          <w:b/>
          <w:sz w:val="20"/>
          <w:u w:val="single"/>
        </w:rPr>
        <w:t>ISDA Master Agreement provisions</w:t>
      </w:r>
      <w:r>
        <w:rPr>
          <w:b/>
          <w:sz w:val="20"/>
        </w:rPr>
        <w:t xml:space="preserve">:  </w:t>
      </w:r>
      <w:r>
        <w:rPr>
          <w:sz w:val="20"/>
        </w:rPr>
        <w:t>The ISDA Master Agreement deemed to govern this Transaction (and Confirmation) incorporates the following provisions:</w:t>
      </w:r>
    </w:p>
    <w:p>
      <w:pPr>
        <w:pStyle w:val="Normal"/>
        <w:numPr>
          <w:ilvl w:val="0"/>
          <w:numId w:val="3"/>
        </w:numPr>
        <w:tabs>
          <w:tab w:val="clear" w:pos="720"/>
          <w:tab w:val="left" w:pos="1350" w:leader="none"/>
          <w:tab w:val="left" w:pos="1418" w:leader="none"/>
          <w:tab w:val="left" w:pos="1869" w:leader="none"/>
        </w:tabs>
        <w:spacing w:before="0" w:after="120"/>
        <w:ind w:hanging="425" w:start="1134" w:end="0"/>
        <w:jc w:val="both"/>
        <w:rPr>
          <w:sz w:val="20"/>
        </w:rPr>
      </w:pPr>
      <w:r>
        <w:rPr>
          <w:sz w:val="20"/>
          <w:lang w:eastAsia="ja-JP"/>
        </w:rPr>
        <w:t>Automatic Early Termination will apply to both parties.</w:t>
      </w:r>
    </w:p>
    <w:p>
      <w:pPr>
        <w:pStyle w:val="Normal"/>
        <w:numPr>
          <w:ilvl w:val="0"/>
          <w:numId w:val="3"/>
        </w:numPr>
        <w:tabs>
          <w:tab w:val="clear" w:pos="720"/>
          <w:tab w:val="left" w:pos="1350" w:leader="none"/>
          <w:tab w:val="left" w:pos="1418" w:leader="none"/>
          <w:tab w:val="left" w:pos="1869" w:leader="none"/>
        </w:tabs>
        <w:spacing w:before="0" w:after="120"/>
        <w:ind w:hanging="425" w:start="1134" w:end="0"/>
        <w:jc w:val="both"/>
        <w:rPr>
          <w:sz w:val="20"/>
        </w:rPr>
      </w:pPr>
      <w:r>
        <w:rPr>
          <w:sz w:val="20"/>
        </w:rPr>
        <w:t>Loss and the Second Method will apply.</w:t>
      </w:r>
    </w:p>
    <w:p>
      <w:pPr>
        <w:pStyle w:val="Normal"/>
        <w:numPr>
          <w:ilvl w:val="0"/>
          <w:numId w:val="3"/>
        </w:numPr>
        <w:tabs>
          <w:tab w:val="clear" w:pos="720"/>
          <w:tab w:val="left" w:pos="1350" w:leader="none"/>
          <w:tab w:val="left" w:pos="1418" w:leader="none"/>
          <w:tab w:val="left" w:pos="1869" w:leader="none"/>
        </w:tabs>
        <w:spacing w:before="0" w:after="120"/>
        <w:ind w:hanging="425" w:start="1134" w:end="0"/>
        <w:jc w:val="both"/>
        <w:rPr>
          <w:sz w:val="20"/>
        </w:rPr>
      </w:pPr>
      <w:r>
        <w:rPr>
          <w:sz w:val="20"/>
        </w:rPr>
        <w:t>The Termination Currency will be Yen.</w:t>
      </w:r>
    </w:p>
    <w:p>
      <w:pPr>
        <w:pStyle w:val="Normal"/>
        <w:numPr>
          <w:ilvl w:val="0"/>
          <w:numId w:val="3"/>
        </w:numPr>
        <w:tabs>
          <w:tab w:val="clear" w:pos="720"/>
          <w:tab w:val="left" w:pos="1350" w:leader="none"/>
          <w:tab w:val="left" w:pos="1418" w:leader="none"/>
          <w:tab w:val="left" w:pos="1869" w:leader="none"/>
        </w:tabs>
        <w:spacing w:before="0" w:after="120"/>
        <w:ind w:hanging="641" w:start="1350" w:end="0"/>
        <w:jc w:val="both"/>
        <w:rPr>
          <w:sz w:val="20"/>
        </w:rPr>
      </w:pPr>
      <w:r>
        <w:rPr>
          <w:sz w:val="20"/>
        </w:rPr>
        <w:t xml:space="preserve">The Calculation Agent is Party A </w:t>
      </w:r>
      <w:r>
        <w:rPr>
          <w:color w:val="000000"/>
          <w:sz w:val="20"/>
        </w:rPr>
        <w:t>(and, without limiting the generality of the pre-amble to this Confirmation, the provisions of Section 4.14 of the Definitions shall be deemed to apply to this Transaction (and Confirmation) as if set out in this Confirmation in full).</w:t>
      </w:r>
    </w:p>
    <w:p>
      <w:pPr>
        <w:pStyle w:val="Normal"/>
        <w:autoSpaceDE w:val="false"/>
        <w:ind w:hanging="641" w:start="1350" w:end="0"/>
        <w:rPr/>
      </w:pPr>
      <w:r>
        <w:rPr>
          <w:sz w:val="20"/>
        </w:rPr>
        <w:t>(e)</w:t>
        <w:tab/>
        <w:t xml:space="preserve">The </w:t>
      </w:r>
      <w:del w:id="0" w:author="jmcbrid3" w:date="2000-10-24T14:38:00Z">
        <w:r>
          <w:rPr>
            <w:sz w:val="20"/>
          </w:rPr>
          <w:delText xml:space="preserve">place </w:delText>
        </w:r>
      </w:del>
      <w:del w:id="1" w:author="jmcbrid3" w:date="2000-10-24T14:38:00Z">
        <w:r>
          <w:rPr>
            <w:color w:val="000000"/>
            <w:sz w:val="20"/>
          </w:rPr>
          <w:delText xml:space="preserve"> to</w:delText>
        </w:r>
      </w:del>
      <w:ins w:id="2" w:author="jmcbrid3" w:date="2000-10-24T14:38:00Z">
        <w:r>
          <w:rPr>
            <w:sz w:val="20"/>
          </w:rPr>
          <w:t xml:space="preserve">place </w:t>
        </w:r>
      </w:ins>
      <w:ins w:id="3" w:author="jmcbrid3" w:date="2000-10-24T14:38:00Z">
        <w:r>
          <w:rPr>
            <w:color w:val="000000"/>
            <w:sz w:val="20"/>
          </w:rPr>
          <w:t>to</w:t>
        </w:r>
      </w:ins>
      <w:r>
        <w:rPr>
          <w:color w:val="000000"/>
          <w:sz w:val="20"/>
        </w:rPr>
        <w:t xml:space="preserve"> apply for the purposes of the definition of Local Business Day in Section 12 of the ISDA Master Agreement is Tokyo.</w:t>
      </w:r>
    </w:p>
    <w:p>
      <w:pPr>
        <w:pStyle w:val="Normal"/>
        <w:autoSpaceDE w:val="false"/>
        <w:rPr>
          <w:color w:val="000000"/>
          <w:sz w:val="20"/>
        </w:rPr>
      </w:pPr>
      <w:r>
        <w:rPr>
          <w:color w:val="000000"/>
          <w:sz w:val="20"/>
        </w:rPr>
      </w:r>
    </w:p>
    <w:p>
      <w:pPr>
        <w:pStyle w:val="Normal"/>
        <w:autoSpaceDE w:val="false"/>
        <w:ind w:hanging="630" w:start="1350" w:end="0"/>
        <w:rPr>
          <w:sz w:val="20"/>
        </w:rPr>
      </w:pPr>
      <w:r>
        <w:rPr>
          <w:color w:val="000000"/>
          <w:sz w:val="20"/>
        </w:rPr>
        <w:t>(f)</w:t>
        <w:tab/>
        <w:t>The Following Modified Business Day Convention shall apply (and, without limiting the generality of the pre-amble to this Confirmation, the provisions of Section 4.12 of the Definitions shall be deemed to apply to this Transaction (and Confirmation) as if set out in this Confirmation in full).</w:t>
      </w:r>
    </w:p>
    <w:p>
      <w:pPr>
        <w:pStyle w:val="Normal"/>
        <w:ind w:hanging="720" w:start="720" w:end="0"/>
        <w:jc w:val="both"/>
        <w:rPr>
          <w:bCs/>
          <w:sz w:val="20"/>
        </w:rPr>
      </w:pPr>
      <w:r>
        <w:rPr>
          <w:bCs/>
          <w:sz w:val="20"/>
        </w:rPr>
      </w:r>
    </w:p>
    <w:p>
      <w:pPr>
        <w:pStyle w:val="Normal"/>
        <w:ind w:hanging="720" w:start="720" w:end="0"/>
        <w:jc w:val="both"/>
        <w:rPr/>
      </w:pPr>
      <w:r>
        <w:rPr>
          <w:bCs/>
          <w:sz w:val="20"/>
        </w:rPr>
        <w:t xml:space="preserve">5. </w:t>
        <w:tab/>
      </w:r>
      <w:r>
        <w:rPr>
          <w:b/>
          <w:sz w:val="20"/>
          <w:u w:val="single"/>
        </w:rPr>
        <w:t>Representations</w:t>
      </w:r>
      <w:r>
        <w:rPr>
          <w:b/>
          <w:sz w:val="20"/>
        </w:rPr>
        <w:t>.</w:t>
      </w:r>
      <w:r>
        <w:rPr>
          <w:sz w:val="20"/>
        </w:rPr>
        <w:t xml:space="preserve"> To induce the other to enter into this Transaction, each party represents and warrants to the other that: </w:t>
      </w:r>
    </w:p>
    <w:p>
      <w:pPr>
        <w:pStyle w:val="Normal"/>
        <w:jc w:val="both"/>
        <w:rPr>
          <w:sz w:val="20"/>
        </w:rPr>
      </w:pPr>
      <w:r>
        <w:rPr>
          <w:sz w:val="20"/>
        </w:rPr>
      </w:r>
    </w:p>
    <w:p>
      <w:pPr>
        <w:pStyle w:val="Normal"/>
        <w:ind w:hanging="720" w:start="1440" w:end="0"/>
        <w:jc w:val="both"/>
        <w:rPr/>
      </w:pPr>
      <w:r>
        <w:rPr>
          <w:sz w:val="20"/>
        </w:rPr>
        <w:t xml:space="preserve">(a) </w:t>
        <w:tab/>
      </w:r>
      <w:r>
        <w:rPr>
          <w:sz w:val="20"/>
          <w:u w:val="single"/>
        </w:rPr>
        <w:t>Authority</w:t>
      </w:r>
      <w:r>
        <w:rPr>
          <w:sz w:val="20"/>
        </w:rPr>
        <w:t xml:space="preserve">: </w:t>
      </w:r>
    </w:p>
    <w:p>
      <w:pPr>
        <w:pStyle w:val="Normal"/>
        <w:ind w:hanging="720" w:start="2160" w:end="0"/>
        <w:jc w:val="both"/>
        <w:rPr>
          <w:sz w:val="20"/>
        </w:rPr>
      </w:pPr>
      <w:r>
        <w:rPr>
          <w:sz w:val="20"/>
        </w:rPr>
        <w:t xml:space="preserve">(i) </w:t>
        <w:tab/>
        <w:t xml:space="preserve">the execution, delivery and performance of this Transaction have been duly authorized by all necessary corporate or other organization action on its part, and </w:t>
      </w:r>
    </w:p>
    <w:p>
      <w:pPr>
        <w:pStyle w:val="Normal"/>
        <w:ind w:hanging="720" w:start="2160" w:end="0"/>
        <w:jc w:val="both"/>
        <w:rPr>
          <w:sz w:val="20"/>
        </w:rPr>
      </w:pPr>
      <w:r>
        <w:rPr>
          <w:sz w:val="20"/>
        </w:rPr>
        <w:t xml:space="preserve">(ii) </w:t>
        <w:tab/>
        <w:t xml:space="preserve">this Transaction represents its legally valid and binding obligation, enforceable against it in accordance with its terms. </w:t>
      </w:r>
    </w:p>
    <w:p>
      <w:pPr>
        <w:pStyle w:val="Normal"/>
        <w:ind w:hanging="720" w:start="1440" w:end="0"/>
        <w:jc w:val="both"/>
        <w:rPr/>
      </w:pPr>
      <w:r>
        <w:rPr>
          <w:sz w:val="20"/>
        </w:rPr>
        <w:t xml:space="preserve"> </w:t>
      </w:r>
      <w:r>
        <w:rPr>
          <w:sz w:val="20"/>
        </w:rPr>
        <w:t xml:space="preserve">(b) </w:t>
        <w:tab/>
      </w:r>
      <w:r>
        <w:rPr>
          <w:sz w:val="20"/>
          <w:u w:val="single"/>
        </w:rPr>
        <w:t>No Reliance and No Advisory Status</w:t>
      </w:r>
      <w:r>
        <w:rPr>
          <w:sz w:val="20"/>
        </w:rPr>
        <w:t xml:space="preserve">: </w:t>
      </w:r>
    </w:p>
    <w:p>
      <w:pPr>
        <w:pStyle w:val="Normal"/>
        <w:ind w:hanging="720" w:start="2160" w:end="0"/>
        <w:jc w:val="both"/>
        <w:rPr>
          <w:sz w:val="20"/>
        </w:rPr>
      </w:pPr>
      <w:r>
        <w:rPr>
          <w:sz w:val="20"/>
        </w:rPr>
        <w:t xml:space="preserve">(i) </w:t>
        <w:tab/>
        <w:t xml:space="preserve">the other party to this Transaction </w:t>
      </w:r>
    </w:p>
    <w:p>
      <w:pPr>
        <w:pStyle w:val="Normal"/>
        <w:ind w:hanging="720" w:start="2880" w:end="0"/>
        <w:jc w:val="both"/>
        <w:rPr>
          <w:sz w:val="20"/>
        </w:rPr>
      </w:pPr>
      <w:r>
        <w:rPr>
          <w:sz w:val="20"/>
        </w:rPr>
        <w:t xml:space="preserve">(1) </w:t>
        <w:tab/>
        <w:t xml:space="preserve">is not acting as a fiduciary or financial, investment or commodity trading advisor for it, and </w:t>
      </w:r>
    </w:p>
    <w:p>
      <w:pPr>
        <w:pStyle w:val="Normal"/>
        <w:ind w:hanging="720" w:start="2880" w:end="0"/>
        <w:jc w:val="both"/>
        <w:rPr>
          <w:sz w:val="20"/>
        </w:rPr>
      </w:pPr>
      <w:r>
        <w:rPr>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p>
    <w:p>
      <w:pPr>
        <w:pStyle w:val="Normal"/>
        <w:ind w:hanging="720" w:start="2160" w:end="0"/>
        <w:jc w:val="both"/>
        <w:rPr>
          <w:sz w:val="20"/>
        </w:rPr>
      </w:pPr>
      <w:r>
        <w:rPr>
          <w:sz w:val="20"/>
        </w:rPr>
        <w:t xml:space="preserve">(ii) </w:t>
        <w:tab/>
        <w:t xml:space="preserve">in connection with the negotiation and execution of this Transaction, </w:t>
      </w:r>
    </w:p>
    <w:p>
      <w:pPr>
        <w:pStyle w:val="Normal"/>
        <w:ind w:hanging="720" w:start="2880" w:end="0"/>
        <w:jc w:val="both"/>
        <w:rPr>
          <w:sz w:val="20"/>
        </w:rPr>
      </w:pPr>
      <w:r>
        <w:rPr>
          <w:sz w:val="20"/>
        </w:rPr>
        <w:t xml:space="preserve">(1) </w:t>
        <w:tab/>
        <w:t xml:space="preserve">it is acting as a principal (and not as an agent or in any other capacity, fiduciary or otherwise), </w:t>
      </w:r>
    </w:p>
    <w:p>
      <w:pPr>
        <w:pStyle w:val="Normal"/>
        <w:ind w:hanging="720" w:start="2880" w:end="0"/>
        <w:jc w:val="both"/>
        <w:rPr>
          <w:sz w:val="20"/>
        </w:rPr>
      </w:pPr>
      <w:r>
        <w:rPr>
          <w:sz w:val="20"/>
        </w:rPr>
        <w:t xml:space="preserve">(2) </w:t>
        <w:tab/>
        <w:t xml:space="preserve">it is not relying upon any advice, counsel or representations (whether written or oral) of the other party other than the representations expressly set forth in the ISDA Master Agreement, </w:t>
      </w:r>
    </w:p>
    <w:p>
      <w:pPr>
        <w:pStyle w:val="Normal"/>
        <w:ind w:hanging="720" w:start="2880" w:end="0"/>
        <w:jc w:val="both"/>
        <w:rPr>
          <w:sz w:val="20"/>
        </w:rPr>
      </w:pPr>
      <w:r>
        <w:rPr>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p>
    <w:p>
      <w:pPr>
        <w:pStyle w:val="Normal"/>
        <w:ind w:hanging="720" w:start="2880" w:end="0"/>
        <w:jc w:val="both"/>
        <w:rPr>
          <w:sz w:val="20"/>
        </w:rPr>
      </w:pPr>
      <w:r>
        <w:rPr>
          <w:sz w:val="20"/>
        </w:rPr>
        <w:t xml:space="preserve">(4) </w:t>
        <w:tab/>
        <w:t xml:space="preserve">all of its decisions regarding this Transaction have been the result of arm’s length negotiations between the parties, and </w:t>
      </w:r>
    </w:p>
    <w:p>
      <w:pPr>
        <w:pStyle w:val="Normal"/>
        <w:ind w:hanging="720" w:start="2880" w:end="0"/>
        <w:jc w:val="both"/>
        <w:rPr>
          <w:sz w:val="20"/>
          <w:ins w:id="4" w:author="jmcbrid3" w:date="2000-10-24T14:28:00Z"/>
        </w:rPr>
      </w:pPr>
      <w:r>
        <w:rPr>
          <w:sz w:val="20"/>
        </w:rPr>
        <w:t xml:space="preserve">(5) </w:t>
        <w:tab/>
        <w:t>it has a full understanding of all the terms, conditions and risks (economic and otherwise) of this Transaction, and it is capable of assuming and willing to assume (financially and otherwise) those risks.</w:t>
      </w:r>
    </w:p>
    <w:p>
      <w:pPr>
        <w:pStyle w:val="Normal"/>
        <w:ind w:hanging="720" w:start="2880" w:end="0"/>
        <w:jc w:val="both"/>
        <w:rPr>
          <w:sz w:val="20"/>
        </w:rPr>
      </w:pPr>
      <w:r>
        <w:rPr>
          <w:sz w:val="20"/>
        </w:rPr>
      </w:r>
    </w:p>
    <w:p>
      <w:pPr>
        <w:pStyle w:val="Normal"/>
        <w:tabs>
          <w:tab w:val="clear" w:pos="720"/>
          <w:tab w:val="left" w:pos="1440" w:leader="none"/>
          <w:tab w:val="left" w:pos="2160" w:leader="none"/>
        </w:tabs>
        <w:ind w:hanging="1350" w:start="2070" w:end="0"/>
        <w:rPr>
          <w:sz w:val="20"/>
          <w:ins w:id="18" w:author="jmcbrid3" w:date="2000-10-24T14:26:00Z"/>
        </w:rPr>
      </w:pPr>
      <w:del w:id="5" w:author="jmcbrid3" w:date="2000-10-24T14:27:00Z">
        <w:r>
          <w:rPr>
            <w:sz w:val="20"/>
          </w:rPr>
          <w:delText xml:space="preserve"> </w:delText>
        </w:r>
      </w:del>
      <w:r>
        <w:rPr>
          <w:sz w:val="20"/>
          <w:lang w:eastAsia="ja-JP"/>
        </w:rPr>
        <w:t>(c)</w:t>
      </w:r>
      <w:ins w:id="6" w:author="jmcbrid3" w:date="2000-10-24T14:26:00Z">
        <w:r>
          <w:rPr>
            <w:sz w:val="20"/>
            <w:lang w:eastAsia="ja-JP"/>
          </w:rPr>
          <w:tab/>
          <w:t>(i)</w:t>
          <w:tab/>
        </w:r>
      </w:ins>
      <w:ins w:id="7" w:author="jmcbrid3" w:date="2000-10-24T14:39:00Z">
        <w:r>
          <w:rPr>
            <w:sz w:val="20"/>
            <w:lang w:eastAsia="ja-JP"/>
          </w:rPr>
          <w:t xml:space="preserve">Party A and Party B </w:t>
        </w:r>
      </w:ins>
      <w:ins w:id="8" w:author="jmcbrid3" w:date="2000-10-24T14:26:00Z">
        <w:r>
          <w:rPr>
            <w:sz w:val="20"/>
          </w:rPr>
          <w:t xml:space="preserve">represent to </w:t>
        </w:r>
      </w:ins>
      <w:ins w:id="9" w:author="jmcbrid3" w:date="2000-10-24T14:40:00Z">
        <w:r>
          <w:rPr>
            <w:sz w:val="20"/>
          </w:rPr>
          <w:t xml:space="preserve">each </w:t>
        </w:r>
      </w:ins>
      <w:ins w:id="10" w:author="jmcbrid3" w:date="2000-10-24T14:26:00Z">
        <w:r>
          <w:rPr>
            <w:sz w:val="20"/>
          </w:rPr>
          <w:t>other that it understands the transaction, it is</w:t>
        </w:r>
      </w:ins>
      <w:ins w:id="11" w:author="jmcbrid3" w:date="2000-10-24T14:40:00Z">
        <w:r>
          <w:rPr>
            <w:sz w:val="20"/>
          </w:rPr>
          <w:t xml:space="preserve"> entering </w:t>
        </w:r>
      </w:ins>
      <w:ins w:id="12" w:author="jmcbrid3" w:date="2000-10-24T14:26:00Z">
        <w:r>
          <w:rPr>
            <w:sz w:val="20"/>
          </w:rPr>
          <w:t>into the</w:t>
        </w:r>
      </w:ins>
      <w:ins w:id="13" w:author="jmcbrid3" w:date="2000-10-24T14:41:00Z">
        <w:r>
          <w:rPr>
            <w:sz w:val="20"/>
          </w:rPr>
          <w:t xml:space="preserve"> t</w:t>
        </w:r>
      </w:ins>
      <w:ins w:id="14" w:author="jmcbrid3" w:date="2000-10-24T14:26:00Z">
        <w:r>
          <w:rPr>
            <w:sz w:val="20"/>
          </w:rPr>
          <w:t>ransaction in the ordinary course of its business and that it has a legitimate business</w:t>
        </w:r>
      </w:ins>
      <w:ins w:id="15" w:author="jmcbrid3" w:date="2000-10-24T14:41:00Z">
        <w:r>
          <w:rPr>
            <w:sz w:val="20"/>
          </w:rPr>
          <w:t xml:space="preserve"> </w:t>
        </w:r>
      </w:ins>
      <w:ins w:id="16" w:author="jmcbrid3" w:date="2000-10-24T14:26:00Z">
        <w:r>
          <w:rPr>
            <w:sz w:val="20"/>
          </w:rPr>
          <w:t>purpose for entering into the transaction;</w:t>
        </w:r>
      </w:ins>
      <w:ins w:id="17" w:author="jmcbrid3" w:date="2000-10-24T14:41:00Z">
        <w:r>
          <w:rPr>
            <w:sz w:val="20"/>
          </w:rPr>
          <w:t xml:space="preserve"> and</w:t>
        </w:r>
      </w:ins>
    </w:p>
    <w:p>
      <w:pPr>
        <w:pStyle w:val="Normal"/>
        <w:ind w:hanging="720" w:start="2160" w:end="0"/>
        <w:rPr>
          <w:sz w:val="20"/>
          <w:ins w:id="20" w:author="jmcbrid3" w:date="2000-10-24T14:26:00Z"/>
        </w:rPr>
      </w:pPr>
      <w:ins w:id="19" w:author="jmcbrid3" w:date="2000-10-24T14:26:00Z">
        <w:r>
          <w:rPr>
            <w:sz w:val="20"/>
          </w:rPr>
        </w:r>
      </w:ins>
    </w:p>
    <w:p>
      <w:pPr>
        <w:pStyle w:val="Normal"/>
        <w:numPr>
          <w:ilvl w:val="0"/>
          <w:numId w:val="5"/>
        </w:numPr>
        <w:tabs>
          <w:tab w:val="clear" w:pos="720"/>
          <w:tab w:val="left" w:pos="2070" w:leader="none"/>
        </w:tabs>
        <w:rPr>
          <w:sz w:val="20"/>
          <w:ins w:id="26" w:author="jmcbrid3" w:date="2000-10-24T14:35:00Z"/>
        </w:rPr>
      </w:pPr>
      <w:ins w:id="21" w:author="jmcbrid3" w:date="2000-10-24T14:41:00Z">
        <w:r>
          <w:rPr>
            <w:sz w:val="20"/>
          </w:rPr>
          <w:t xml:space="preserve">Party B </w:t>
        </w:r>
      </w:ins>
      <w:ins w:id="22" w:author="jmcbrid3" w:date="2000-10-24T14:26:00Z">
        <w:r>
          <w:rPr>
            <w:sz w:val="20"/>
          </w:rPr>
          <w:t xml:space="preserve">represents to </w:t>
        </w:r>
      </w:ins>
      <w:ins w:id="23" w:author="jmcbrid3" w:date="2000-10-24T14:41:00Z">
        <w:r>
          <w:rPr>
            <w:sz w:val="20"/>
          </w:rPr>
          <w:t xml:space="preserve">Party A </w:t>
        </w:r>
      </w:ins>
      <w:ins w:id="24" w:author="jmcbrid3" w:date="2000-10-24T14:26:00Z">
        <w:r>
          <w:rPr>
            <w:sz w:val="20"/>
          </w:rPr>
          <w:t>that it has the power and authority to enter into the</w:t>
        </w:r>
      </w:ins>
      <w:ins w:id="25" w:author="jmcbrid3" w:date="2000-10-24T14:35:00Z">
        <w:r>
          <w:rPr>
            <w:sz w:val="20"/>
          </w:rPr>
          <w:t xml:space="preserve"> </w:t>
        </w:r>
      </w:ins>
    </w:p>
    <w:p>
      <w:pPr>
        <w:pStyle w:val="Normal"/>
        <w:tabs>
          <w:tab w:val="clear" w:pos="720"/>
          <w:tab w:val="left" w:pos="2070" w:leader="none"/>
          <w:tab w:val="left" w:pos="2160" w:leader="none"/>
        </w:tabs>
        <w:ind w:firstLine="630" w:start="1440" w:end="0"/>
        <w:rPr>
          <w:sz w:val="20"/>
          <w:ins w:id="28" w:author="jmcbrid3" w:date="2000-10-24T14:26:00Z"/>
        </w:rPr>
      </w:pPr>
      <w:ins w:id="27" w:author="jmcbrid3" w:date="2000-10-24T14:26:00Z">
        <w:r>
          <w:rPr>
            <w:sz w:val="20"/>
          </w:rPr>
          <w:t>transaction under the Insurance Business Law.</w:t>
        </w:r>
      </w:ins>
    </w:p>
    <w:p>
      <w:pPr>
        <w:pStyle w:val="Normal"/>
        <w:spacing w:before="120" w:after="0"/>
        <w:ind w:hanging="720" w:start="1440" w:end="0"/>
        <w:jc w:val="both"/>
        <w:rPr>
          <w:b/>
          <w:bCs/>
          <w:sz w:val="20"/>
          <w:u w:val="single"/>
          <w:lang w:eastAsia="ja-JP"/>
          <w:del w:id="38" w:author="jmcbrid3" w:date="2000-10-24T14:25:00Z"/>
        </w:rPr>
      </w:pPr>
      <w:del w:id="29" w:author="jmcbrid3" w:date="2000-10-24T14:25:00Z">
        <w:r>
          <w:rPr>
            <w:sz w:val="20"/>
            <w:lang w:eastAsia="ja-JP"/>
          </w:rPr>
          <w:tab/>
        </w:r>
      </w:del>
      <w:del w:id="30" w:author="jmcbrid3" w:date="2000-10-24T14:25:00Z">
        <w:r>
          <w:rPr>
            <w:b/>
            <w:bCs/>
            <w:sz w:val="20"/>
            <w:u w:val="single"/>
            <w:lang w:eastAsia="ja-JP"/>
          </w:rPr>
          <w:delText xml:space="preserve">LEGITIMATE BUSINESS PURPOSE: PARTY </w:delText>
        </w:r>
      </w:del>
      <w:del w:id="31" w:author="jmcbrid3" w:date="2000-10-20T14:02:00Z">
        <w:r>
          <w:rPr>
            <w:b/>
            <w:bCs/>
            <w:sz w:val="20"/>
            <w:u w:val="single"/>
            <w:lang w:eastAsia="ja-JP"/>
          </w:rPr>
          <w:delText>A</w:delText>
        </w:r>
      </w:del>
      <w:del w:id="32" w:author="jmcbrid3" w:date="2000-10-24T14:25:00Z">
        <w:r>
          <w:rPr>
            <w:b/>
            <w:bCs/>
            <w:sz w:val="20"/>
            <w:u w:val="single"/>
            <w:lang w:eastAsia="ja-JP"/>
          </w:rPr>
          <w:delText xml:space="preserve"> </w:delText>
        </w:r>
      </w:del>
      <w:del w:id="33" w:author="jmcbrid3" w:date="2000-10-24T14:25:00Z">
        <w:r>
          <w:rPr>
            <w:b/>
            <w:bCs/>
            <w:sz w:val="20"/>
            <w:u w:val="single"/>
            <w:lang w:eastAsia="ja-JP"/>
          </w:rPr>
          <w:delText xml:space="preserve">REPRESENTS AND WARRANTS TO </w:delText>
        </w:r>
      </w:del>
      <w:del w:id="34" w:author="jmcbrid3" w:date="2000-10-24T14:25:00Z">
        <w:r>
          <w:rPr>
            <w:b/>
            <w:bCs/>
            <w:sz w:val="20"/>
            <w:u w:val="single"/>
            <w:lang w:eastAsia="ja-JP"/>
          </w:rPr>
          <w:delText xml:space="preserve">PARTY </w:delText>
        </w:r>
      </w:del>
      <w:del w:id="35" w:author="jmcbrid3" w:date="2000-10-20T14:02:00Z">
        <w:r>
          <w:rPr>
            <w:b/>
            <w:bCs/>
            <w:sz w:val="20"/>
            <w:u w:val="single"/>
            <w:lang w:eastAsia="ja-JP"/>
          </w:rPr>
          <w:delText>B</w:delText>
        </w:r>
      </w:del>
      <w:del w:id="36" w:author="jmcbrid3" w:date="2000-10-24T14:25:00Z">
        <w:r>
          <w:rPr>
            <w:b/>
            <w:bCs/>
            <w:sz w:val="20"/>
            <w:u w:val="single"/>
            <w:lang w:eastAsia="ja-JP"/>
          </w:rPr>
          <w:delText xml:space="preserve"> </w:delText>
        </w:r>
      </w:del>
      <w:del w:id="37" w:author="jmcbrid3" w:date="2000-10-24T14:25:00Z">
        <w:r>
          <w:rPr>
            <w:b/>
            <w:bCs/>
            <w:sz w:val="20"/>
            <w:u w:val="single"/>
            <w:lang w:eastAsia="ja-JP"/>
          </w:rPr>
          <w:delText>THAT:</w:delText>
        </w:r>
      </w:del>
    </w:p>
    <w:p>
      <w:pPr>
        <w:pStyle w:val="Normal"/>
        <w:widowControl/>
        <w:bidi w:val="0"/>
        <w:spacing w:before="120" w:after="0"/>
        <w:ind w:hanging="720" w:start="1440" w:end="0"/>
        <w:jc w:val="both"/>
        <w:rPr>
          <w:b/>
          <w:bCs/>
          <w:sz w:val="20"/>
          <w:u w:val="single"/>
          <w:lang w:eastAsia="ja-JP"/>
          <w:del w:id="42" w:author="jmcbrid3" w:date="2000-10-24T14:25:00Z"/>
        </w:rPr>
      </w:pPr>
      <w:del w:id="39" w:author="jmcbrid3" w:date="2000-10-24T14:25:00Z">
        <w:r>
          <w:rPr>
            <w:b/>
            <w:bCs/>
            <w:sz w:val="20"/>
            <w:lang w:eastAsia="ja-JP"/>
          </w:rPr>
          <w:delText xml:space="preserve">(i)  </w:delText>
          <w:tab/>
        </w:r>
      </w:del>
      <w:del w:id="40" w:author="jmcbrid3" w:date="2000-10-24T14:25:00Z">
        <w:r>
          <w:rPr>
            <w:b/>
            <w:bCs/>
            <w:sz w:val="20"/>
            <w:u w:val="single"/>
            <w:lang w:eastAsia="ja-JP"/>
          </w:rPr>
          <w:delText>IT HAS READ AND FULLY UNDERSTAND THE TERMS OF THE PROPOSED TRANSACTION</w:delText>
        </w:r>
      </w:del>
      <w:del w:id="41" w:author="jmcbrid3" w:date="2000-10-24T14:25:00Z">
        <w:r>
          <w:rPr>
            <w:b/>
            <w:bCs/>
            <w:sz w:val="20"/>
            <w:u w:val="single"/>
            <w:lang w:eastAsia="ja-JP"/>
          </w:rPr>
          <w:delText>:</w:delText>
        </w:r>
      </w:del>
    </w:p>
    <w:p>
      <w:pPr>
        <w:pStyle w:val="Normal"/>
        <w:widowControl/>
        <w:bidi w:val="0"/>
        <w:spacing w:before="120" w:after="0"/>
        <w:ind w:hanging="720" w:start="1440" w:end="0"/>
        <w:jc w:val="both"/>
        <w:rPr>
          <w:del w:id="45" w:author="jmcbrid3" w:date="2000-10-24T14:25:00Z"/>
        </w:rPr>
      </w:pPr>
      <w:del w:id="43" w:author="jmcbrid3" w:date="2000-10-24T14:25:00Z">
        <w:r>
          <w:rPr>
            <w:b/>
            <w:bCs/>
            <w:sz w:val="20"/>
            <w:lang w:eastAsia="ja-JP"/>
          </w:rPr>
          <w:delText xml:space="preserve">(ii)  </w:delText>
          <w:tab/>
        </w:r>
      </w:del>
      <w:del w:id="44" w:author="jmcbrid3" w:date="2000-10-24T14:25:00Z">
        <w:r>
          <w:rPr>
            <w:b/>
            <w:bCs/>
            <w:sz w:val="20"/>
            <w:u w:val="single"/>
            <w:lang w:eastAsia="ja-JP"/>
          </w:rPr>
          <w:delText>IT IS ENTERING INTO THIS TRANSACTION TO HEDGE WEATHER RELATED RISKS ARISING IN THE ORDINARY COURSE OF ITS BUSINESS; AND</w:delText>
        </w:r>
      </w:del>
    </w:p>
    <w:p>
      <w:pPr>
        <w:pStyle w:val="Normal"/>
        <w:widowControl/>
        <w:numPr>
          <w:ilvl w:val="0"/>
          <w:numId w:val="0"/>
        </w:numPr>
        <w:bidi w:val="0"/>
        <w:spacing w:before="120" w:after="0"/>
        <w:ind w:hanging="720" w:start="1440" w:end="0"/>
        <w:jc w:val="both"/>
        <w:rPr>
          <w:del w:id="49" w:author="jmcbrid3" w:date="2000-10-24T14:25:00Z"/>
        </w:rPr>
      </w:pPr>
      <w:del w:id="46" w:author="jmcbrid3" w:date="2000-10-24T14:25:00Z">
        <w:r>
          <w:rPr>
            <w:b/>
            <w:bCs/>
            <w:sz w:val="20"/>
            <w:u w:val="single"/>
            <w:lang w:eastAsia="ja-JP"/>
          </w:rPr>
          <w:delText xml:space="preserve">UNDER THE INSURANCE BUSINESS LAW, PARTY </w:delText>
        </w:r>
      </w:del>
      <w:del w:id="47" w:author="jmcbrid3" w:date="2000-10-20T14:02:00Z">
        <w:r>
          <w:rPr>
            <w:b/>
            <w:bCs/>
            <w:sz w:val="20"/>
            <w:u w:val="single"/>
            <w:lang w:eastAsia="ja-JP"/>
          </w:rPr>
          <w:delText>A</w:delText>
        </w:r>
      </w:del>
      <w:del w:id="48" w:author="jmcbrid3" w:date="2000-10-24T14:25:00Z">
        <w:r>
          <w:rPr>
            <w:b/>
            <w:bCs/>
            <w:sz w:val="20"/>
            <w:u w:val="single"/>
            <w:lang w:eastAsia="ja-JP"/>
          </w:rPr>
          <w:delText xml:space="preserve"> IS AUTHORIZED TO ENTER INTO THIS TRANSACTION.</w:delText>
        </w:r>
      </w:del>
    </w:p>
    <w:p>
      <w:pPr>
        <w:pStyle w:val="Normal"/>
        <w:widowControl/>
        <w:numPr>
          <w:ilvl w:val="0"/>
          <w:numId w:val="0"/>
        </w:numPr>
        <w:bidi w:val="0"/>
        <w:spacing w:before="120" w:after="0"/>
        <w:ind w:hanging="720" w:start="1440" w:end="0"/>
        <w:jc w:val="both"/>
        <w:rPr>
          <w:b/>
          <w:bCs/>
          <w:sz w:val="20"/>
          <w:u w:val="single"/>
          <w:lang w:eastAsia="ja-JP"/>
        </w:rPr>
      </w:pPr>
      <w:r>
        <w:rPr>
          <w:b/>
          <w:bCs/>
          <w:sz w:val="20"/>
          <w:u w:val="single"/>
          <w:lang w:eastAsia="ja-JP"/>
        </w:rPr>
      </w:r>
    </w:p>
    <w:p>
      <w:pPr>
        <w:pStyle w:val="Normal"/>
        <w:jc w:val="both"/>
        <w:rPr>
          <w:sz w:val="20"/>
        </w:rPr>
      </w:pPr>
      <w:r>
        <w:rPr>
          <w:sz w:val="20"/>
        </w:rPr>
        <w:t>6</w:t>
      </w:r>
      <w:r>
        <w:rPr>
          <w:sz w:val="20"/>
        </w:rPr>
        <w:t>.</w:t>
      </w:r>
      <w:r>
        <w:rPr>
          <w:sz w:val="20"/>
        </w:rPr>
        <w:t xml:space="preserve">  </w:t>
        <w:tab/>
      </w:r>
      <w:r>
        <w:rPr>
          <w:b/>
          <w:bCs/>
          <w:sz w:val="20"/>
          <w:u w:val="single"/>
        </w:rPr>
        <w:t>Additional Events of Default.</w:t>
      </w:r>
    </w:p>
    <w:p>
      <w:pPr>
        <w:pStyle w:val="Normal"/>
        <w:ind w:hanging="720" w:start="2880" w:end="0"/>
        <w:jc w:val="both"/>
        <w:rPr/>
      </w:pPr>
      <w:r>
        <w:rPr>
          <w:sz w:val="20"/>
        </w:rPr>
        <w:t>(</w:t>
      </w:r>
      <w:r>
        <w:rPr>
          <w:sz w:val="20"/>
        </w:rPr>
        <w:t>a</w:t>
      </w:r>
      <w:r>
        <w:rPr>
          <w:sz w:val="20"/>
        </w:rPr>
        <w:t>)</w:t>
        <w:tab/>
        <w:t xml:space="preserve">Section 5(a) of the </w:t>
      </w:r>
      <w:r>
        <w:rPr>
          <w:sz w:val="20"/>
        </w:rPr>
        <w:t xml:space="preserve">ISDA </w:t>
      </w:r>
      <w:r>
        <w:rPr>
          <w:sz w:val="20"/>
        </w:rPr>
        <w:t>Master Agreement is hereby amended by deleting the word “or” at the end of Subsection (vii), by replacing the period at the end of Subsection (viii) with “or;” and by inserting the following as a new Subsection (ix);</w:t>
        <w:tab/>
      </w:r>
    </w:p>
    <w:p>
      <w:pPr>
        <w:pStyle w:val="BodyTextIndent2"/>
        <w:rPr/>
      </w:pPr>
      <w:r>
        <w:rPr/>
        <w:t>“</w:t>
      </w:r>
      <w:r>
        <w:rPr/>
        <w:t xml:space="preserve">(ix) </w:t>
        <w:tab/>
      </w:r>
      <w:r>
        <w:rPr>
          <w:u w:val="single"/>
        </w:rPr>
        <w:t>Other Financial Crisis</w:t>
      </w:r>
      <w:r>
        <w:rPr/>
        <w:t>.  The Party, or if applicable, any Credit Support Provider or any Specified Entity:</w:t>
      </w:r>
    </w:p>
    <w:p>
      <w:pPr>
        <w:pStyle w:val="BodyTextIndent3"/>
        <w:rPr/>
      </w:pPr>
      <w:r>
        <w:rPr/>
        <w:t xml:space="preserve">(1) </w:t>
        <w:tab/>
        <w:t>has a pre-judgment attachment ("karisashiosae"), post-judgment attachment ("sashiosae") or other court order of enforcement issued in respect of any of its assets (other than its rights under the ISDA Agreement) in relation to a debt or debts in an aggregate amount of not less than JP¥</w:t>
      </w:r>
      <w:ins w:id="50" w:author="jmcbrid3" w:date="2000-10-24T14:38:00Z">
        <w:r>
          <w:rPr/>
          <w:t>1,000,000</w:t>
        </w:r>
      </w:ins>
      <w:del w:id="51" w:author="jmcbrid3" w:date="2000-10-24T14:38:00Z">
        <w:r>
          <w:rPr/>
          <w:delText xml:space="preserve">[    </w:delText>
        </w:r>
      </w:del>
      <w:r>
        <w:rPr/>
        <w:t xml:space="preserve"> </w:t>
      </w:r>
      <w:del w:id="52" w:author="jmcbrid3" w:date="2000-10-24T14:38:00Z">
        <w:r>
          <w:rPr/>
          <w:delText xml:space="preserve"> </w:delText>
          <w:tab/>
          <w:delText>]</w:delText>
        </w:r>
      </w:del>
      <w:r>
        <w:rPr/>
        <w:t xml:space="preserve"> (or the equivalent in any currency) and such attachment or other court order of enforcement is not dismissed, discharged, stayed or restrained in each case within 30 days of the date of issue thereof; </w:t>
      </w:r>
    </w:p>
    <w:p>
      <w:pPr>
        <w:pStyle w:val="Normal"/>
        <w:ind w:hanging="720" w:start="4320" w:end="0"/>
        <w:jc w:val="both"/>
        <w:rPr>
          <w:sz w:val="20"/>
        </w:rPr>
      </w:pPr>
      <w:r>
        <w:rPr>
          <w:sz w:val="20"/>
        </w:rPr>
        <w:t xml:space="preserve">(2) </w:t>
        <w:tab/>
        <w:t xml:space="preserve">has a pre-judgment attachment ("karisashiosae"), post-judgment attachment ("sashiosae") or other court order of enforcement issued in respect of any of its rights under the ISDA Agreement; or </w:t>
      </w:r>
    </w:p>
    <w:p>
      <w:pPr>
        <w:pStyle w:val="BodyTextIndent3"/>
        <w:rPr/>
      </w:pPr>
      <w:r>
        <w:rPr/>
        <w:t xml:space="preserve">(3) </w:t>
        <w:tab/>
        <w:t>has clearance of its bills of exchange, promissory notes or checks suspended by any clearing house in Japan.”</w:t>
      </w:r>
    </w:p>
    <w:p>
      <w:pPr>
        <w:pStyle w:val="Normal"/>
        <w:ind w:hanging="720" w:start="2880" w:end="0"/>
        <w:jc w:val="both"/>
        <w:rPr/>
      </w:pPr>
      <w:r>
        <w:rPr>
          <w:sz w:val="20"/>
        </w:rPr>
        <w:t>(b)</w:t>
        <w:tab/>
        <w:t xml:space="preserve">Section 6(a) of the </w:t>
      </w:r>
      <w:r>
        <w:rPr>
          <w:sz w:val="20"/>
        </w:rPr>
        <w:t xml:space="preserve">ISDA </w:t>
      </w:r>
      <w:r>
        <w:rPr>
          <w:sz w:val="20"/>
        </w:rPr>
        <w:t>Master Agreement is hereby amended by inserting the words “or specified in Section 5 (a) (ix)”, after the words “or, to the extent analogous thereto, (8)” in line 8 thereof.</w:t>
      </w:r>
    </w:p>
    <w:p>
      <w:pPr>
        <w:pStyle w:val="Normal"/>
        <w:spacing w:lineRule="exact" w:line="240" w:before="120" w:after="0"/>
        <w:jc w:val="both"/>
        <w:rPr>
          <w:b/>
          <w:color w:val="000000"/>
          <w:sz w:val="20"/>
        </w:rPr>
      </w:pPr>
      <w:r>
        <w:rPr>
          <w:bCs/>
          <w:color w:val="000000"/>
          <w:sz w:val="20"/>
        </w:rPr>
        <w:t xml:space="preserve">7.  </w:t>
        <w:tab/>
      </w:r>
      <w:r>
        <w:rPr>
          <w:b/>
          <w:color w:val="000000"/>
          <w:sz w:val="20"/>
          <w:u w:val="single"/>
        </w:rPr>
        <w:t>Tax Representations.</w:t>
      </w:r>
    </w:p>
    <w:p>
      <w:pPr>
        <w:pStyle w:val="times"/>
        <w:autoSpaceDE w:val="false"/>
        <w:textAlignment w:val="bottom"/>
        <w:rPr>
          <w:rFonts w:ascii="Times New Roman" w:hAnsi="Times New Roman" w:cs="Times New Roman"/>
          <w:b/>
          <w:color w:val="000000"/>
          <w:sz w:val="20"/>
        </w:rPr>
      </w:pPr>
      <w:r>
        <w:rPr>
          <w:rFonts w:cs="Times New Roman" w:ascii="Times New Roman" w:hAnsi="Times New Roman"/>
          <w:b/>
          <w:color w:val="000000"/>
          <w:sz w:val="20"/>
        </w:rPr>
      </w:r>
    </w:p>
    <w:p>
      <w:pPr>
        <w:pStyle w:val="times"/>
        <w:autoSpaceDE w:val="false"/>
        <w:ind w:hanging="720" w:start="1440" w:end="0"/>
        <w:textAlignment w:val="bottom"/>
        <w:rPr/>
      </w:pPr>
      <w:r>
        <w:rPr>
          <w:rFonts w:cs="Times New Roman" w:ascii="Times New Roman" w:hAnsi="Times New Roman"/>
          <w:sz w:val="20"/>
        </w:rPr>
        <w:t>(a)</w:t>
        <w:tab/>
      </w:r>
      <w:r>
        <w:rPr>
          <w:rFonts w:cs="Times New Roman" w:ascii="Times New Roman" w:hAnsi="Times New Roman"/>
          <w:b/>
          <w:sz w:val="20"/>
        </w:rPr>
        <w:t>Payer representations</w:t>
      </w:r>
      <w:r>
        <w:rPr>
          <w:rFonts w:cs="Times New Roman" w:ascii="Times New Roman" w:hAnsi="Times New Roman"/>
          <w:sz w:val="20"/>
        </w:rPr>
        <w:t>.  For the purpose of Section 3(e) of the ISDA Master Agreement, Party A and Party B will make the following representation:</w:t>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Master Agreement) to be made by it to the other party under the ISDA Master Agreement.  In making this representation, it may rely on: </w:t>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t xml:space="preserve">(i) </w:t>
        <w:tab/>
        <w:t xml:space="preserve">the accuracy of any representations made by the other party pursuant to Section 3(f) of the ISDA Master Agreement, </w:t>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t xml:space="preserve">(ii) </w:t>
        <w:tab/>
        <w:t xml:space="preserve">the satisfaction of the agreement contained in Section (a)(i) or 4(a)(iii) of the ISDA Master Agreement and the accuracy and effectiveness of any document provided by the other party pursuant to Section (a)(i) or 4(a)(iii) of the ISDA Master Agreement, and </w:t>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t>(iii)</w:t>
        <w:tab/>
        <w:t>the satisfaction of the agreement of the other party contained in Section 4(d) of the ISDA Master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1440" w:end="0"/>
        <w:textAlignment w:val="bottom"/>
        <w:rPr/>
      </w:pPr>
      <w:r>
        <w:rPr>
          <w:rFonts w:cs="Times New Roman" w:ascii="Times New Roman" w:hAnsi="Times New Roman"/>
          <w:sz w:val="20"/>
        </w:rPr>
        <w:t>(b)</w:t>
        <w:tab/>
      </w:r>
      <w:r>
        <w:rPr>
          <w:rFonts w:cs="Times New Roman" w:ascii="Times New Roman" w:hAnsi="Times New Roman"/>
          <w:b/>
          <w:sz w:val="20"/>
        </w:rPr>
        <w:t>Payee Representations</w:t>
      </w:r>
      <w:r>
        <w:rPr>
          <w:rFonts w:cs="Times New Roman" w:ascii="Times New Roman" w:hAnsi="Times New Roman"/>
          <w:sz w:val="20"/>
        </w:rPr>
        <w:t>.  For the purpose of Section 3(f) of the ISDA Master Agreement, Party A and Party B make no representations.</w:t>
      </w:r>
    </w:p>
    <w:p>
      <w:pPr>
        <w:pStyle w:val="Normal"/>
        <w:jc w:val="both"/>
        <w:rPr>
          <w:rFonts w:ascii="Times New Roman" w:hAnsi="Times New Roman" w:cs="Times New Roman"/>
          <w:sz w:val="20"/>
        </w:rPr>
      </w:pPr>
      <w:r>
        <w:rPr>
          <w:rFonts w:cs="Times New Roman"/>
          <w:sz w:val="20"/>
        </w:rPr>
      </w:r>
    </w:p>
    <w:p>
      <w:pPr>
        <w:pStyle w:val="Normal"/>
        <w:autoSpaceDE w:val="false"/>
        <w:ind w:hanging="720" w:start="720" w:end="0"/>
        <w:rPr/>
      </w:pPr>
      <w:r>
        <w:rPr>
          <w:sz w:val="20"/>
        </w:rPr>
        <w:t>8.</w:t>
        <w:tab/>
      </w:r>
      <w:r>
        <w:rPr>
          <w:b/>
          <w:sz w:val="20"/>
          <w:u w:val="single"/>
        </w:rPr>
        <w:t>Governing Law/Jurisdiction</w:t>
      </w:r>
      <w:r>
        <w:rPr>
          <w:b/>
          <w:sz w:val="20"/>
        </w:rPr>
        <w:t>.</w:t>
      </w:r>
      <w:r>
        <w:rPr>
          <w:sz w:val="20"/>
        </w:rPr>
        <w:t xml:space="preserve"> </w:t>
      </w:r>
      <w:r>
        <w:rPr>
          <w:rFonts w:cs="Times" w:ascii="Times" w:hAnsi="Times"/>
          <w:sz w:val="20"/>
        </w:rPr>
        <w:t xml:space="preserve">This Transaction and this Confirmation will be governed by and construed in accordance with the laws of Japan.  </w:t>
      </w:r>
      <w:r>
        <w:rPr>
          <w:rFonts w:cs="Times" w:ascii="Times" w:hAnsi="Times"/>
          <w:color w:val="000000"/>
          <w:sz w:val="20"/>
        </w:rPr>
        <w:t>The parties further agree that, for the purposes of this Transaction and this Confirmation, Clause 13(b)(i) of the ISDA Master Agreement shall be amended to read as follows:  “each party irrevocably submits to the jurisdiction of the District Courts of Tokyo”.</w:t>
      </w:r>
    </w:p>
    <w:p>
      <w:pPr>
        <w:pStyle w:val="Normal"/>
        <w:ind w:hanging="567" w:start="709" w:end="0"/>
        <w:jc w:val="both"/>
        <w:rPr>
          <w:rFonts w:ascii="Times" w:hAnsi="Times" w:cs="Times"/>
          <w:color w:val="000000"/>
          <w:sz w:val="20"/>
        </w:rPr>
      </w:pPr>
      <w:r>
        <w:rPr>
          <w:rFonts w:cs="Times" w:ascii="Times" w:hAnsi="Times"/>
          <w:color w:val="000000"/>
          <w:sz w:val="20"/>
        </w:rPr>
      </w:r>
    </w:p>
    <w:p>
      <w:pPr>
        <w:pStyle w:val="Normal"/>
        <w:ind w:hanging="567" w:start="709" w:end="0"/>
        <w:jc w:val="both"/>
        <w:rPr/>
      </w:pPr>
      <w:r>
        <w:rPr>
          <w:sz w:val="20"/>
        </w:rPr>
        <w:t>9.</w:t>
        <w:tab/>
      </w:r>
      <w:r>
        <w:rPr>
          <w:b/>
          <w:sz w:val="20"/>
          <w:u w:val="single"/>
        </w:rPr>
        <w:t>Confidentiality</w:t>
      </w:r>
      <w:r>
        <w:rPr>
          <w:b/>
          <w:sz w:val="20"/>
        </w:rPr>
        <w:t>.</w:t>
      </w:r>
      <w:r>
        <w:rPr>
          <w:sz w:val="20"/>
        </w:rPr>
        <w:t xml:space="preserve"> This Confirmation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hanging="567" w:start="709" w:end="0"/>
        <w:jc w:val="both"/>
        <w:rPr>
          <w:sz w:val="20"/>
        </w:rPr>
      </w:pPr>
      <w:r>
        <w:rPr>
          <w:sz w:val="20"/>
        </w:rPr>
      </w:r>
    </w:p>
    <w:p>
      <w:pPr>
        <w:pStyle w:val="Normal"/>
        <w:ind w:hanging="567" w:start="709" w:end="0"/>
        <w:jc w:val="both"/>
        <w:rPr/>
      </w:pPr>
      <w:r>
        <w:rPr>
          <w:sz w:val="20"/>
        </w:rPr>
        <w:t>10.</w:t>
        <w:tab/>
      </w:r>
      <w:r>
        <w:rPr>
          <w:b/>
          <w:sz w:val="20"/>
          <w:u w:val="single"/>
        </w:rPr>
        <w:t>Limitation of Liability</w:t>
      </w:r>
      <w:r>
        <w:rPr>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b/>
          <w:sz w:val="20"/>
        </w:rPr>
      </w:pPr>
      <w:r>
        <w:rPr>
          <w:b/>
          <w:sz w:val="20"/>
        </w:rPr>
      </w:r>
    </w:p>
    <w:p>
      <w:pPr>
        <w:pStyle w:val="Normal"/>
        <w:ind w:hanging="567" w:start="709" w:end="0"/>
        <w:jc w:val="both"/>
        <w:rPr/>
      </w:pPr>
      <w:r>
        <w:rPr>
          <w:sz w:val="20"/>
        </w:rPr>
        <w:t>11.</w:t>
        <w:tab/>
      </w:r>
      <w:r>
        <w:rPr>
          <w:b/>
          <w:sz w:val="20"/>
          <w:u w:val="single"/>
        </w:rPr>
        <w:t>Setoff</w:t>
      </w:r>
      <w:r>
        <w:rPr>
          <w:b/>
          <w:sz w:val="20"/>
        </w:rPr>
        <w:t>.</w:t>
      </w:r>
      <w:r>
        <w:rPr>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ind w:hanging="567" w:start="709" w:end="0"/>
        <w:jc w:val="both"/>
        <w:rPr>
          <w:sz w:val="20"/>
        </w:rPr>
      </w:pPr>
      <w:r>
        <w:rPr>
          <w:sz w:val="20"/>
        </w:rPr>
      </w:r>
    </w:p>
    <w:p>
      <w:pPr>
        <w:pStyle w:val="Normal"/>
        <w:ind w:hanging="709" w:start="709" w:end="0"/>
        <w:jc w:val="both"/>
        <w:rPr/>
      </w:pPr>
      <w:r>
        <w:rPr>
          <w:sz w:val="20"/>
        </w:rPr>
        <w:t xml:space="preserve">12. </w:t>
        <w:tab/>
      </w:r>
      <w:r>
        <w:rPr>
          <w:b/>
          <w:sz w:val="20"/>
          <w:u w:val="single"/>
        </w:rPr>
        <w:t>Severability</w:t>
      </w:r>
      <w:r>
        <w:rPr>
          <w:b/>
          <w:sz w:val="20"/>
        </w:rPr>
        <w:t>.</w:t>
      </w:r>
      <w:r>
        <w:rPr>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sz w:val="20"/>
          <w:u w:val="single"/>
        </w:rPr>
        <w:t>provided</w:t>
      </w:r>
      <w:r>
        <w:rPr>
          <w:sz w:val="20"/>
        </w:rPr>
        <w:t xml:space="preserve">, </w:t>
      </w:r>
      <w:r>
        <w:rPr>
          <w:sz w:val="20"/>
          <w:u w:val="single"/>
        </w:rPr>
        <w:t>however</w:t>
      </w:r>
      <w:r>
        <w:rPr>
          <w:sz w:val="20"/>
        </w:rPr>
        <w:t>, that this severability provision shall not be applicable if any provision of Section 1, 2, 5 or 6 of the ISDA Master Agreement (or any definition or provision in Section 14 to the extent it relates to, or is used in or in connection with any such Section) shall be so held to be invalid or unenforceable.</w:t>
      </w:r>
    </w:p>
    <w:p>
      <w:pPr>
        <w:pStyle w:val="Normal"/>
        <w:jc w:val="both"/>
        <w:rPr>
          <w:sz w:val="20"/>
        </w:rPr>
      </w:pPr>
      <w:r>
        <w:rPr>
          <w:sz w:val="20"/>
        </w:rPr>
        <w:t> </w:t>
      </w:r>
    </w:p>
    <w:p>
      <w:pPr>
        <w:pStyle w:val="Normal"/>
        <w:jc w:val="both"/>
        <w:rPr>
          <w:bCs/>
          <w:sz w:val="20"/>
        </w:rPr>
      </w:pPr>
      <w:r>
        <w:rPr>
          <w:bCs/>
          <w:sz w:val="20"/>
        </w:rPr>
      </w:r>
    </w:p>
    <w:p>
      <w:pPr>
        <w:pStyle w:val="Normal"/>
        <w:jc w:val="both"/>
        <w:rPr>
          <w:bCs/>
          <w:sz w:val="20"/>
        </w:rPr>
      </w:pPr>
      <w:r>
        <w:rPr>
          <w:bCs/>
          <w:sz w:val="20"/>
        </w:rPr>
      </w:r>
    </w:p>
    <w:p>
      <w:pPr>
        <w:pStyle w:val="Normal"/>
        <w:jc w:val="both"/>
        <w:rPr/>
      </w:pPr>
      <w:r>
        <w:rPr>
          <w:bCs/>
          <w:sz w:val="20"/>
        </w:rPr>
        <w:t>13.</w:t>
      </w:r>
      <w:r>
        <w:rPr>
          <w:b/>
          <w:sz w:val="20"/>
        </w:rPr>
        <w:tab/>
      </w:r>
      <w:r>
        <w:rPr>
          <w:b/>
          <w:sz w:val="20"/>
          <w:u w:val="single"/>
        </w:rPr>
        <w:t>Defined Terms.</w:t>
      </w:r>
    </w:p>
    <w:p>
      <w:pPr>
        <w:pStyle w:val="Normal"/>
        <w:jc w:val="both"/>
        <w:rPr>
          <w:b/>
          <w:sz w:val="20"/>
          <w:u w:val="single"/>
        </w:rPr>
      </w:pPr>
      <w:r>
        <w:rPr>
          <w:b/>
          <w:sz w:val="20"/>
          <w:u w:val="single"/>
        </w:rPr>
      </w:r>
    </w:p>
    <w:p>
      <w:pPr>
        <w:pStyle w:val="BodyText3"/>
        <w:ind w:firstLine="720" w:end="0"/>
        <w:rPr>
          <w:color w:val="000000"/>
        </w:rPr>
      </w:pPr>
      <w:r>
        <w:rPr>
          <w:color w:val="000000"/>
        </w:rPr>
        <w:t>In this Confirmation the following terms have the meanings ascribed to them.</w:t>
      </w:r>
    </w:p>
    <w:p>
      <w:pPr>
        <w:pStyle w:val="Heading4"/>
        <w:ind w:hanging="0" w:start="720" w:end="0"/>
        <w:rPr>
          <w:color w:val="000000"/>
        </w:rPr>
      </w:pPr>
      <w:r>
        <w:rPr>
          <w:color w:val="000000"/>
        </w:rPr>
      </w:r>
    </w:p>
    <w:p>
      <w:pPr>
        <w:pStyle w:val="Heading4"/>
        <w:ind w:hanging="0" w:start="720" w:end="0"/>
        <w:rPr>
          <w:i/>
          <w:i/>
          <w:iCs/>
        </w:rPr>
      </w:pPr>
      <w:r>
        <w:rPr>
          <w:i/>
          <w:iCs/>
        </w:rPr>
        <w:t>[To add new definitions]</w:t>
      </w:r>
    </w:p>
    <w:p>
      <w:pPr>
        <w:pStyle w:val="Heading4"/>
        <w:ind w:hanging="0" w:start="720" w:end="0"/>
        <w:rPr>
          <w:i/>
          <w:i/>
          <w:iCs/>
        </w:rPr>
      </w:pPr>
      <w:r>
        <w:rPr>
          <w:i/>
          <w:iCs/>
        </w:rPr>
      </w:r>
    </w:p>
    <w:p>
      <w:pPr>
        <w:pStyle w:val="Heading4"/>
        <w:ind w:hanging="0" w:start="720" w:end="0"/>
        <w:rPr/>
      </w:pPr>
      <w:r>
        <w:rPr/>
        <w:t xml:space="preserve">Reference Basis.  </w:t>
      </w:r>
      <w:r>
        <w:rPr>
          <w:b w:val="false"/>
        </w:rPr>
        <w:t xml:space="preserve">The Reference Basis is eighteen (18) degrees celsius. </w:t>
      </w:r>
    </w:p>
    <w:p>
      <w:pPr>
        <w:pStyle w:val="Heading4"/>
        <w:ind w:hanging="0" w:start="720" w:end="0"/>
        <w:rPr>
          <w:b w:val="false"/>
        </w:rPr>
      </w:pPr>
      <w:r>
        <w:rPr>
          <w:b w:val="false"/>
        </w:rPr>
      </w:r>
    </w:p>
    <w:p>
      <w:pPr>
        <w:pStyle w:val="Heading4"/>
        <w:ind w:hanging="0" w:start="720" w:end="0"/>
        <w:rPr/>
      </w:pPr>
      <w:r>
        <w:rPr/>
        <w:t xml:space="preserve">Reporting Service. </w:t>
      </w:r>
      <w:r>
        <w:rPr>
          <w:b w:val="false"/>
        </w:rPr>
        <w:t>Japanese Meteorological Agency.</w:t>
      </w:r>
    </w:p>
    <w:p>
      <w:pPr>
        <w:pStyle w:val="Normal"/>
        <w:ind w:start="720" w:end="0"/>
        <w:jc w:val="both"/>
        <w:rPr>
          <w:b/>
          <w:sz w:val="20"/>
        </w:rPr>
      </w:pPr>
      <w:r>
        <w:rPr>
          <w:b/>
          <w:sz w:val="20"/>
        </w:rPr>
      </w:r>
    </w:p>
    <w:p>
      <w:pPr>
        <w:pStyle w:val="Normal"/>
        <w:ind w:start="720" w:end="0"/>
        <w:jc w:val="both"/>
        <w:rPr/>
      </w:pPr>
      <w:r>
        <w:rPr>
          <w:b/>
          <w:sz w:val="20"/>
        </w:rPr>
        <w:t xml:space="preserve">Reporting Agency. </w:t>
      </w:r>
      <w:r>
        <w:rPr>
          <w:sz w:val="20"/>
        </w:rPr>
        <w:t>Japanese Meteorological Business Support Centre of the Reporting Agency.</w:t>
      </w:r>
    </w:p>
    <w:p>
      <w:pPr>
        <w:pStyle w:val="Normal"/>
        <w:ind w:start="720" w:end="0"/>
        <w:jc w:val="both"/>
        <w:rPr>
          <w:sz w:val="20"/>
        </w:rPr>
      </w:pPr>
      <w:r>
        <w:rPr>
          <w:sz w:val="20"/>
        </w:rPr>
      </w:r>
    </w:p>
    <w:p>
      <w:pPr>
        <w:pStyle w:val="Normal"/>
        <w:ind w:start="720" w:end="0"/>
        <w:jc w:val="both"/>
        <w:rPr/>
      </w:pPr>
      <w:r>
        <w:rPr>
          <w:b/>
          <w:sz w:val="20"/>
        </w:rPr>
        <w:t xml:space="preserve">Rounding Convention. </w:t>
      </w:r>
      <w:r>
        <w:rPr>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ind w:start="360" w:end="0"/>
        <w:jc w:val="both"/>
        <w:rPr>
          <w:b/>
          <w:sz w:val="20"/>
          <w:u w:val="single"/>
        </w:rPr>
      </w:pPr>
      <w:r>
        <w:rPr>
          <w:b/>
          <w:sz w:val="20"/>
          <w:u w:val="single"/>
        </w:rPr>
      </w:r>
    </w:p>
    <w:p>
      <w:pPr>
        <w:pStyle w:val="Heading5"/>
        <w:ind w:firstLine="360" w:end="0"/>
        <w:rPr/>
      </w:pPr>
      <w:r>
        <w:rPr/>
        <w:t xml:space="preserve">JST. </w:t>
      </w:r>
      <w:r>
        <w:rPr>
          <w:b w:val="false"/>
        </w:rPr>
        <w:t xml:space="preserve"> Japanese Standard Time.    </w:t>
      </w:r>
    </w:p>
    <w:p>
      <w:pPr>
        <w:pStyle w:val="Normal"/>
        <w:ind w:start="360" w:end="0"/>
        <w:jc w:val="both"/>
        <w:rPr>
          <w:b/>
          <w:sz w:val="20"/>
          <w:u w:val="single"/>
        </w:rPr>
      </w:pPr>
      <w:r>
        <w:rPr>
          <w:b/>
          <w:sz w:val="20"/>
          <w:u w:val="single"/>
        </w:rPr>
      </w:r>
    </w:p>
    <w:p>
      <w:pPr>
        <w:pStyle w:val="Normal"/>
        <w:jc w:val="both"/>
        <w:rPr>
          <w:sz w:val="20"/>
        </w:rPr>
      </w:pPr>
      <w:r>
        <w:rPr>
          <w:sz w:val="20"/>
        </w:rPr>
        <w:t>Enron Japan Corp. is pleased to have entered into this Transaction with you.</w:t>
      </w:r>
    </w:p>
    <w:p>
      <w:pPr>
        <w:pStyle w:val="Normal"/>
        <w:keepNext w:val="true"/>
        <w:rPr>
          <w:sz w:val="20"/>
        </w:rPr>
      </w:pPr>
      <w:r>
        <w:rPr>
          <w:sz w:val="20"/>
        </w:rPr>
      </w:r>
    </w:p>
    <w:p>
      <w:pPr>
        <w:pStyle w:val="Normal"/>
        <w:keepNext w:val="true"/>
        <w:rPr/>
      </w:pPr>
      <w:r>
        <w:rPr/>
        <w:t>Yours sincerely,</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napToGrid w:val="false"/>
              <w:rPr>
                <w:b/>
                <w:sz w:val="20"/>
              </w:rPr>
            </w:pPr>
            <w:r>
              <w:rPr>
                <w:b/>
                <w:sz w:val="20"/>
              </w:rPr>
            </w:r>
          </w:p>
          <w:p>
            <w:pPr>
              <w:pStyle w:val="Normal"/>
              <w:keepNext w:val="true"/>
              <w:rPr>
                <w:b/>
                <w:sz w:val="20"/>
              </w:rPr>
            </w:pPr>
            <w:r>
              <w:rPr>
                <w:b/>
                <w:sz w:val="20"/>
              </w:rPr>
            </w:r>
          </w:p>
          <w:p>
            <w:pPr>
              <w:pStyle w:val="Normal"/>
              <w:keepNext w:val="true"/>
              <w:rPr>
                <w:sz w:val="20"/>
              </w:rPr>
            </w:pPr>
            <w:r>
              <w:rPr>
                <w:b/>
                <w:sz w:val="20"/>
              </w:rPr>
              <w:t>ENRON JAPAN CORP.</w:t>
            </w:r>
          </w:p>
        </w:tc>
        <w:tc>
          <w:tcPr>
            <w:tcW w:w="4788" w:type="dxa"/>
            <w:tcBorders/>
          </w:tcPr>
          <w:p>
            <w:pPr>
              <w:pStyle w:val="Heading1"/>
              <w:ind w:hanging="0" w:start="0"/>
              <w:rPr>
                <w:b w:val="false"/>
                <w:caps w:val="false"/>
                <w:smallCaps w:val="false"/>
                <w:color w:val="000000"/>
                <w:sz w:val="20"/>
              </w:rPr>
            </w:pPr>
            <w:r>
              <w:rPr>
                <w:b w:val="false"/>
                <w:caps w:val="false"/>
                <w:smallCaps w:val="false"/>
                <w:color w:val="000000"/>
                <w:sz w:val="20"/>
              </w:rPr>
              <w:t>Confirmed as of the Trade Date:</w:t>
            </w:r>
          </w:p>
          <w:p>
            <w:pPr>
              <w:pStyle w:val="Normal"/>
              <w:keepNext w:val="true"/>
              <w:rPr>
                <w:sz w:val="20"/>
              </w:rPr>
            </w:pPr>
            <w:r>
              <w:rPr>
                <w:sz w:val="20"/>
              </w:rPr>
              <w:t>September 27, 2000</w:t>
            </w:r>
          </w:p>
          <w:p>
            <w:pPr>
              <w:pStyle w:val="Normal"/>
              <w:keepNext w:val="true"/>
              <w:rPr>
                <w:sz w:val="20"/>
              </w:rPr>
            </w:pPr>
            <w:r>
              <w:rPr>
                <w:sz w:val="20"/>
              </w:rPr>
            </w:r>
          </w:p>
        </w:tc>
      </w:tr>
      <w:tr>
        <w:trPr/>
        <w:tc>
          <w:tcPr>
            <w:tcW w:w="4788" w:type="dxa"/>
            <w:tcBorders/>
          </w:tcPr>
          <w:p>
            <w:pPr>
              <w:pStyle w:val="Normal"/>
              <w:keepNext w:val="true"/>
              <w:rPr>
                <w:sz w:val="20"/>
              </w:rPr>
            </w:pPr>
            <w:r>
              <w:rPr>
                <w:sz w:val="20"/>
              </w:rPr>
              <w:t>By:</w:t>
              <w:tab/>
              <w:t>_____________________________</w:t>
            </w:r>
          </w:p>
          <w:p>
            <w:pPr>
              <w:pStyle w:val="Normal"/>
              <w:keepNext w:val="true"/>
              <w:rPr>
                <w:sz w:val="20"/>
              </w:rPr>
            </w:pPr>
            <w:r>
              <w:rPr>
                <w:sz w:val="20"/>
              </w:rPr>
            </w:r>
          </w:p>
        </w:tc>
        <w:tc>
          <w:tcPr>
            <w:tcW w:w="4788" w:type="dxa"/>
            <w:tcBorders/>
          </w:tcPr>
          <w:p>
            <w:pPr>
              <w:pStyle w:val="Normal"/>
              <w:keepNext w:val="true"/>
              <w:rPr>
                <w:sz w:val="20"/>
              </w:rPr>
            </w:pPr>
            <w:r>
              <w:rPr>
                <w:sz w:val="20"/>
              </w:rPr>
              <w:t>By:</w:t>
              <w:tab/>
              <w:t>_____________________________</w:t>
            </w:r>
          </w:p>
        </w:tc>
      </w:tr>
      <w:tr>
        <w:trPr/>
        <w:tc>
          <w:tcPr>
            <w:tcW w:w="4788" w:type="dxa"/>
            <w:tcBorders/>
          </w:tcPr>
          <w:p>
            <w:pPr>
              <w:pStyle w:val="Normal"/>
              <w:keepNext w:val="true"/>
              <w:rPr>
                <w:sz w:val="20"/>
              </w:rPr>
            </w:pPr>
            <w:r>
              <w:rPr>
                <w:sz w:val="20"/>
              </w:rPr>
              <w:t>Name:</w:t>
              <w:tab/>
              <w:t>_____________________________</w:t>
            </w:r>
          </w:p>
        </w:tc>
        <w:tc>
          <w:tcPr>
            <w:tcW w:w="4788" w:type="dxa"/>
            <w:tcBorders/>
          </w:tcPr>
          <w:p>
            <w:pPr>
              <w:pStyle w:val="Normal"/>
              <w:keepNext w:val="true"/>
              <w:rPr>
                <w:sz w:val="20"/>
              </w:rPr>
            </w:pPr>
            <w:r>
              <w:rPr>
                <w:sz w:val="20"/>
              </w:rPr>
              <w:t>Name:</w:t>
              <w:tab/>
              <w:t>_____________________________</w:t>
            </w:r>
          </w:p>
          <w:p>
            <w:pPr>
              <w:pStyle w:val="Normal"/>
              <w:keepNext w:val="true"/>
              <w:rPr>
                <w:sz w:val="20"/>
              </w:rPr>
            </w:pPr>
            <w:r>
              <w:rPr>
                <w:sz w:val="20"/>
              </w:rPr>
            </w:r>
          </w:p>
        </w:tc>
      </w:tr>
      <w:tr>
        <w:trPr/>
        <w:tc>
          <w:tcPr>
            <w:tcW w:w="4788" w:type="dxa"/>
            <w:tcBorders/>
          </w:tcPr>
          <w:p>
            <w:pPr>
              <w:pStyle w:val="Normal"/>
              <w:keepNext w:val="true"/>
              <w:rPr>
                <w:sz w:val="20"/>
              </w:rPr>
            </w:pPr>
            <w:r>
              <w:rPr>
                <w:sz w:val="20"/>
              </w:rPr>
              <w:t>Title:</w:t>
              <w:tab/>
              <w:t>_____________________________</w:t>
            </w:r>
          </w:p>
        </w:tc>
        <w:tc>
          <w:tcPr>
            <w:tcW w:w="4788" w:type="dxa"/>
            <w:tcBorders/>
          </w:tcPr>
          <w:p>
            <w:pPr>
              <w:pStyle w:val="Normal"/>
              <w:keepNext w:val="true"/>
              <w:rPr>
                <w:sz w:val="20"/>
              </w:rPr>
            </w:pPr>
            <w:r>
              <w:rPr>
                <w:sz w:val="20"/>
              </w:rPr>
              <w:t>Title:</w:t>
              <w:tab/>
              <w:t>_____________________________</w:t>
            </w:r>
          </w:p>
          <w:p>
            <w:pPr>
              <w:pStyle w:val="Normal"/>
              <w:keepNext w:val="true"/>
              <w:rPr>
                <w:sz w:val="20"/>
              </w:rPr>
            </w:pPr>
            <w:r>
              <w:rPr>
                <w:sz w:val="20"/>
              </w:rPr>
            </w:r>
          </w:p>
        </w:tc>
      </w:tr>
    </w:tbl>
    <w:p>
      <w:pPr>
        <w:pStyle w:val="Normal"/>
        <w:keepNext w:val="true"/>
        <w:rPr/>
      </w:pPr>
      <w:r>
        <w:rPr/>
      </w:r>
    </w:p>
    <w:sectPr>
      <w:headerReference w:type="default" r:id="rId2"/>
      <w:footerReference w:type="default" r:id="rId3"/>
      <w:type w:val="nextPage"/>
      <w:pgSz w:w="12240" w:h="15840"/>
      <w:pgMar w:left="1440" w:right="1440" w:gutter="0" w:header="540" w:top="984"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Mincho">
    <w:altName w:val="明朝"/>
    <w:charset w:val="80"/>
    <w:family w:val="roman"/>
    <w:pitch w:val="default"/>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/mnt/main-storage/datasets/enron-docs/doc/Weather_HDD_Floor_OTC_ToaRejmb2000_10_24.doc</w:t>
    </w:r>
    <w:r>
      <w:rPr>
        <w:rStyle w:val="PageNumbe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Contract No. EJW 180001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i w:val="false"/>
        <w:b w:val="false"/>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start"/>
      <w:pPr>
        <w:tabs>
          <w:tab w:val="num" w:pos="720"/>
        </w:tabs>
        <w:ind w:start="720" w:hanging="720"/>
      </w:pPr>
      <w:rPr/>
    </w:lvl>
  </w:abstractNum>
  <w:abstractNum w:abstractNumId="5">
    <w:lvl w:ilvl="0">
      <w:start w:val="2"/>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2">
    <w:name w:val="heading 2"/>
    <w:basedOn w:val="Normal"/>
    <w:next w:val="Normal"/>
    <w:qFormat/>
    <w:pPr>
      <w:keepNext w:val="true"/>
      <w:numPr>
        <w:ilvl w:val="1"/>
        <w:numId w:val="1"/>
      </w:numPr>
      <w:jc w:val="both"/>
      <w:outlineLvl w:val="1"/>
    </w:pPr>
    <w:rPr>
      <w:b/>
      <w:color w:val="FF0000"/>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b/>
      <w:sz w:val="20"/>
    </w:rPr>
  </w:style>
  <w:style w:type="paragraph" w:styleId="Heading5">
    <w:name w:val="heading 5"/>
    <w:basedOn w:val="Normal"/>
    <w:next w:val="Normal"/>
    <w:qFormat/>
    <w:pPr>
      <w:keepNext w:val="true"/>
      <w:numPr>
        <w:ilvl w:val="4"/>
        <w:numId w:val="1"/>
      </w:numPr>
      <w:ind w:hanging="0" w:start="360" w:end="0"/>
      <w:jc w:val="both"/>
      <w:outlineLvl w:val="4"/>
    </w:pPr>
    <w:rPr>
      <w:b/>
      <w:sz w:val="20"/>
    </w:rPr>
  </w:style>
  <w:style w:type="paragraph" w:styleId="Heading6">
    <w:name w:val="heading 6"/>
    <w:basedOn w:val="Normal"/>
    <w:next w:val="Normal"/>
    <w:qFormat/>
    <w:pPr>
      <w:keepNext w:val="true"/>
      <w:numPr>
        <w:ilvl w:val="5"/>
        <w:numId w:val="1"/>
      </w:numPr>
      <w:outlineLvl w:val="5"/>
    </w:pPr>
    <w:rPr>
      <w:b/>
      <w:bCs/>
      <w:sz w:val="20"/>
    </w:rPr>
  </w:style>
  <w:style w:type="character" w:styleId="WW8Num1z0">
    <w:name w:val="WW8Num1z0"/>
    <w:qFormat/>
    <w:rPr>
      <w:b w:val="false"/>
      <w:i w:val="false"/>
    </w:rPr>
  </w:style>
  <w:style w:type="character" w:styleId="WW8Num2z0">
    <w:name w:val="WW8Num2z0"/>
    <w:qFormat/>
    <w:rPr>
      <w:u w:val="non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b w:val="false"/>
      <w:u w:val="none"/>
    </w:rPr>
  </w:style>
  <w:style w:type="character" w:styleId="WW8Num12z0">
    <w:name w:val="WW8Num12z0"/>
    <w:qFormat/>
    <w:rPr>
      <w:b w:val="false"/>
      <w:i w:val="false"/>
    </w:rPr>
  </w:style>
  <w:style w:type="character" w:styleId="WW8Num13z0">
    <w:name w:val="WW8Num13z0"/>
    <w:qFormat/>
    <w:rPr>
      <w:rFonts w:ascii="Times New Roman" w:hAnsi="Times New Roman" w:cs="Times New Roman"/>
      <w:b w:val="false"/>
      <w:i w:val="false"/>
      <w:sz w:val="22"/>
      <w:u w:val="none"/>
    </w:rPr>
  </w:style>
  <w:style w:type="character" w:styleId="WW8Num14z0">
    <w:name w:val="WW8Num14z0"/>
    <w:qFormat/>
    <w:rPr/>
  </w:style>
  <w:style w:type="character" w:styleId="WW8Num15z0">
    <w:name w:val="WW8Num15z0"/>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BodyTextIndent">
    <w:name w:val="Body Text Indent"/>
    <w:basedOn w:val="Normal"/>
    <w:pPr>
      <w:tabs>
        <w:tab w:val="clear" w:pos="720"/>
        <w:tab w:val="left" w:pos="360" w:leader="none"/>
      </w:tabs>
      <w:spacing w:before="240" w:after="0"/>
      <w:ind w:hanging="0" w:start="360" w:end="0"/>
      <w:jc w:val="both"/>
    </w:pPr>
    <w:rPr>
      <w:sz w:val="20"/>
    </w:rPr>
  </w:style>
  <w:style w:type="paragraph" w:styleId="times">
    <w:name w:val="英文times"/>
    <w:basedOn w:val="Normal"/>
    <w:qFormat/>
    <w:pPr>
      <w:widowControl w:val="false"/>
      <w:spacing w:lineRule="atLeast" w:line="240"/>
      <w:jc w:val="both"/>
      <w:textAlignment w:val="baseline"/>
    </w:pPr>
    <w:rPr>
      <w:rFonts w:ascii="Mincho;明朝" w:hAnsi="Mincho;明朝" w:eastAsia="Mincho;明朝" w:cs="Century"/>
      <w:sz w:val="22"/>
      <w:lang w:eastAsia="ja-JP"/>
    </w:rPr>
  </w:style>
  <w:style w:type="paragraph" w:styleId="FootnoteText">
    <w:name w:val="footnote text"/>
    <w:basedOn w:val="Normal"/>
    <w:pPr>
      <w:widowControl w:val="false"/>
      <w:spacing w:before="100" w:after="100"/>
    </w:pPr>
    <w:rPr>
      <w:sz w:val="20"/>
      <w:lang w:val="en-AU"/>
    </w:rPr>
  </w:style>
  <w:style w:type="paragraph" w:styleId="BodyTextIndent2">
    <w:name w:val="Body Text Indent 2"/>
    <w:basedOn w:val="Normal"/>
    <w:qFormat/>
    <w:pPr>
      <w:ind w:hanging="720" w:start="3600" w:end="0"/>
      <w:jc w:val="both"/>
    </w:pPr>
    <w:rPr>
      <w:sz w:val="20"/>
    </w:rPr>
  </w:style>
  <w:style w:type="paragraph" w:styleId="BodyTextIndent3">
    <w:name w:val="Body Text Indent 3"/>
    <w:basedOn w:val="Normal"/>
    <w:qFormat/>
    <w:pPr>
      <w:ind w:hanging="720" w:start="4320" w:end="0"/>
      <w:jc w:val="both"/>
    </w:pPr>
    <w:rPr>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2000-10-24T03:13:00Z</dcterms:created>
  <dc:creator>appinst</dc:creator>
  <dc:description/>
  <dc:language>en-CA</dc:language>
  <cp:lastModifiedBy>jmcbrid3</cp:lastModifiedBy>
  <cp:lastPrinted>2000-10-17T15:02:00Z</cp:lastPrinted>
  <dcterms:modified xsi:type="dcterms:W3CDTF">2000-10-24T03:13:00Z</dcterms:modified>
  <cp:revision>2</cp:revision>
  <dc:subject/>
  <dc:title> </dc:title>
</cp:coreProperties>
</file>