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General Weather Deal Procedures</w:t>
      </w:r>
    </w:p>
    <w:p>
      <w:pPr>
        <w:pStyle w:val="Normal"/>
        <w:jc w:val="both"/>
        <w:rPr/>
      </w:pPr>
      <w:r>
        <w:rPr/>
      </w:r>
    </w:p>
    <w:p>
      <w:pPr>
        <w:pStyle w:val="Normal"/>
        <w:jc w:val="both"/>
        <w:rPr/>
      </w:pPr>
      <w:r>
        <w:rPr/>
      </w:r>
    </w:p>
    <w:p>
      <w:pPr>
        <w:pStyle w:val="Heading1"/>
        <w:ind w:hanging="0" w:start="0"/>
        <w:jc w:val="both"/>
        <w:rPr/>
      </w:pPr>
      <w:r>
        <w:rPr/>
        <w:t>NEW COUNTERPARTIES</w:t>
      </w:r>
    </w:p>
    <w:p>
      <w:pPr>
        <w:pStyle w:val="Normal"/>
        <w:jc w:val="both"/>
        <w:rPr/>
      </w:pPr>
      <w:r>
        <w:rPr/>
      </w:r>
    </w:p>
    <w:p>
      <w:pPr>
        <w:pStyle w:val="Normal"/>
        <w:jc w:val="both"/>
        <w:rPr/>
      </w:pPr>
      <w:r>
        <w:rPr/>
        <w:t>If possible, the responsible trader/marketer should call Legal &amp; Credit before the deal is done so that proper assessments of the Counterparty may be made.</w:t>
      </w:r>
    </w:p>
    <w:p>
      <w:pPr>
        <w:pStyle w:val="Normal"/>
        <w:jc w:val="both"/>
        <w:rPr/>
      </w:pPr>
      <w:r>
        <w:rPr/>
      </w:r>
    </w:p>
    <w:p>
      <w:pPr>
        <w:pStyle w:val="Normal"/>
        <w:jc w:val="both"/>
        <w:rPr/>
      </w:pPr>
      <w:r>
        <w:rPr/>
        <w:t>If it is not possible to contact Legal/Credit beforehand, make it clear to the Counterparty and/or Broker that the Transaction is “</w:t>
      </w:r>
      <w:r>
        <w:rPr>
          <w:u w:val="single"/>
        </w:rPr>
        <w:t>subject to the Legal and Credit issues being agreed</w:t>
      </w:r>
      <w:r>
        <w:rPr/>
        <w:t xml:space="preserve">” with Enron’s Legal and Credit people. When you state this, make sure you are speaking on a </w:t>
      </w:r>
      <w:r>
        <w:rPr>
          <w:u w:val="single"/>
        </w:rPr>
        <w:t>recorded line</w:t>
      </w:r>
      <w:r>
        <w:rPr/>
        <w:t xml:space="preserve"> and that you hear the other side </w:t>
      </w:r>
      <w:r>
        <w:rPr>
          <w:u w:val="single"/>
        </w:rPr>
        <w:t>assent</w:t>
      </w:r>
      <w:r>
        <w:rPr/>
        <w:t xml:space="preserve"> to this. </w:t>
      </w:r>
    </w:p>
    <w:p>
      <w:pPr>
        <w:pStyle w:val="Normal"/>
        <w:jc w:val="both"/>
        <w:rPr/>
      </w:pPr>
      <w:r>
        <w:rPr/>
      </w:r>
    </w:p>
    <w:p>
      <w:pPr>
        <w:pStyle w:val="Normal"/>
        <w:jc w:val="both"/>
        <w:rPr/>
      </w:pPr>
      <w:r>
        <w:rPr/>
        <w:t xml:space="preserve">When calling Legal/Credit to inform them about the counterparty and/or deal, be prepared to give the following information: </w:t>
      </w:r>
    </w:p>
    <w:p>
      <w:pPr>
        <w:pStyle w:val="Normal"/>
        <w:numPr>
          <w:ilvl w:val="0"/>
          <w:numId w:val="2"/>
        </w:numPr>
        <w:jc w:val="both"/>
        <w:rPr/>
      </w:pPr>
      <w:r>
        <w:rPr/>
        <w:t>Full legal name</w:t>
      </w:r>
    </w:p>
    <w:p>
      <w:pPr>
        <w:pStyle w:val="Normal"/>
        <w:numPr>
          <w:ilvl w:val="0"/>
          <w:numId w:val="2"/>
        </w:numPr>
        <w:jc w:val="both"/>
        <w:rPr/>
      </w:pPr>
      <w:r>
        <w:rPr/>
        <w:t>Address/Telephone Numbers</w:t>
      </w:r>
    </w:p>
    <w:p>
      <w:pPr>
        <w:pStyle w:val="Normal"/>
        <w:numPr>
          <w:ilvl w:val="0"/>
          <w:numId w:val="2"/>
        </w:numPr>
        <w:jc w:val="both"/>
        <w:rPr/>
      </w:pPr>
      <w:r>
        <w:rPr/>
        <w:t>Legal and Credit Contacts</w:t>
      </w:r>
    </w:p>
    <w:p>
      <w:pPr>
        <w:pStyle w:val="Normal"/>
        <w:numPr>
          <w:ilvl w:val="0"/>
          <w:numId w:val="2"/>
        </w:numPr>
        <w:jc w:val="both"/>
        <w:rPr/>
      </w:pPr>
      <w:r>
        <w:rPr/>
        <w:t>If possible to know, the Type of Entity the Counterparty is</w:t>
      </w:r>
    </w:p>
    <w:p>
      <w:pPr>
        <w:pStyle w:val="Normal"/>
        <w:numPr>
          <w:ilvl w:val="0"/>
          <w:numId w:val="2"/>
        </w:numPr>
        <w:jc w:val="both"/>
        <w:rPr/>
      </w:pPr>
      <w:r>
        <w:rPr/>
        <w:t>Whether the Counterparty comes with a Guarantee. If so, from whom?</w:t>
      </w:r>
    </w:p>
    <w:p>
      <w:pPr>
        <w:pStyle w:val="Normal"/>
        <w:numPr>
          <w:ilvl w:val="0"/>
          <w:numId w:val="2"/>
        </w:numPr>
        <w:jc w:val="both"/>
        <w:rPr/>
      </w:pPr>
      <w:r>
        <w:rPr/>
        <w:t>Description of intended Transaction</w:t>
      </w:r>
    </w:p>
    <w:p>
      <w:pPr>
        <w:pStyle w:val="Normal"/>
        <w:numPr>
          <w:ilvl w:val="0"/>
          <w:numId w:val="2"/>
        </w:numPr>
        <w:jc w:val="both"/>
        <w:rPr/>
      </w:pPr>
      <w:r>
        <w:rPr/>
        <w:t xml:space="preserve">When Financial Statements can provided </w:t>
      </w:r>
    </w:p>
    <w:p>
      <w:pPr>
        <w:pStyle w:val="Normal"/>
        <w:jc w:val="both"/>
        <w:rPr/>
      </w:pPr>
      <w:r>
        <w:rPr/>
      </w:r>
    </w:p>
    <w:p>
      <w:pPr>
        <w:pStyle w:val="Normal"/>
        <w:jc w:val="both"/>
        <w:rPr/>
      </w:pPr>
      <w:r>
        <w:rPr/>
      </w:r>
    </w:p>
    <w:p>
      <w:pPr>
        <w:pStyle w:val="Heading1"/>
        <w:ind w:hanging="0" w:start="0"/>
        <w:jc w:val="both"/>
        <w:rPr/>
      </w:pPr>
      <w:r>
        <w:rPr/>
        <w:t>NEW JURISDICTIONS</w:t>
      </w:r>
    </w:p>
    <w:p>
      <w:pPr>
        <w:pStyle w:val="Normal"/>
        <w:jc w:val="both"/>
        <w:rPr/>
      </w:pPr>
      <w:r>
        <w:rPr/>
      </w:r>
    </w:p>
    <w:p>
      <w:pPr>
        <w:pStyle w:val="Normal"/>
        <w:jc w:val="both"/>
        <w:rPr/>
      </w:pPr>
      <w:r>
        <w:rPr/>
        <w:t xml:space="preserve">If you plan to do a transaction in a new jurisdiction (basically countries other than US, Canada, Bermuda, France, Netherlands), please consult Legal </w:t>
      </w:r>
      <w:r>
        <w:rPr>
          <w:u w:val="single"/>
        </w:rPr>
        <w:t>beforehand</w:t>
      </w:r>
      <w:r>
        <w:rPr/>
        <w:t xml:space="preserve"> so the appropriate attorney can carry out a quick investigation that there are no legal impediments to transacting weather derivatives with this type of counterparty in this location. </w:t>
      </w:r>
    </w:p>
    <w:p>
      <w:pPr>
        <w:pStyle w:val="Normal"/>
        <w:numPr>
          <w:ilvl w:val="0"/>
          <w:numId w:val="3"/>
        </w:numPr>
        <w:jc w:val="both"/>
        <w:rPr/>
      </w:pPr>
      <w:r>
        <w:rPr/>
        <w:t xml:space="preserve">For all European countries: call Paul Simons in London. </w:t>
      </w:r>
    </w:p>
    <w:p>
      <w:pPr>
        <w:pStyle w:val="Normal"/>
        <w:numPr>
          <w:ilvl w:val="0"/>
          <w:numId w:val="3"/>
        </w:numPr>
        <w:jc w:val="both"/>
        <w:rPr/>
      </w:pPr>
      <w:r>
        <w:rPr/>
        <w:t>For any countries other than Europe, call Shari Stack in Houston.</w:t>
      </w:r>
    </w:p>
    <w:p>
      <w:pPr>
        <w:pStyle w:val="Normal"/>
        <w:jc w:val="both"/>
        <w:rPr/>
      </w:pPr>
      <w:r>
        <w:rPr/>
      </w:r>
    </w:p>
    <w:p>
      <w:pPr>
        <w:pStyle w:val="Normal"/>
        <w:jc w:val="both"/>
        <w:rPr/>
      </w:pPr>
      <w:r>
        <w:rPr/>
      </w:r>
    </w:p>
    <w:p>
      <w:pPr>
        <w:pStyle w:val="Heading1"/>
        <w:ind w:hanging="0" w:start="0"/>
        <w:jc w:val="both"/>
        <w:rPr/>
      </w:pPr>
      <w:r>
        <w:rPr/>
        <w:t>MISCELLANEOUS</w:t>
      </w:r>
    </w:p>
    <w:p>
      <w:pPr>
        <w:pStyle w:val="Normal"/>
        <w:jc w:val="both"/>
        <w:rPr/>
      </w:pPr>
      <w:r>
        <w:rPr/>
      </w:r>
    </w:p>
    <w:p>
      <w:pPr>
        <w:pStyle w:val="Normal"/>
        <w:jc w:val="both"/>
        <w:rPr/>
      </w:pPr>
      <w:r>
        <w:rPr/>
        <w:t xml:space="preserve">1. Confirmations: </w:t>
      </w:r>
    </w:p>
    <w:p>
      <w:pPr>
        <w:pStyle w:val="Normal"/>
        <w:jc w:val="both"/>
        <w:rPr/>
      </w:pPr>
      <w:r>
        <w:rPr/>
      </w:r>
    </w:p>
    <w:p>
      <w:pPr>
        <w:pStyle w:val="Normal"/>
        <w:numPr>
          <w:ilvl w:val="0"/>
          <w:numId w:val="4"/>
        </w:numPr>
        <w:jc w:val="both"/>
        <w:rPr/>
      </w:pPr>
      <w:r>
        <w:rPr/>
        <w:t xml:space="preserve">We have a strong preference to be the party that sends out the Confirmations. Please clarify </w:t>
      </w:r>
      <w:r>
        <w:rPr>
          <w:u w:val="single"/>
        </w:rPr>
        <w:t>at the time of dealing</w:t>
      </w:r>
      <w:r>
        <w:rPr/>
        <w:t xml:space="preserve"> that Enron will be the confirming party. </w:t>
      </w:r>
    </w:p>
    <w:p>
      <w:pPr>
        <w:pStyle w:val="Normal"/>
        <w:numPr>
          <w:ilvl w:val="0"/>
          <w:numId w:val="4"/>
        </w:numPr>
        <w:jc w:val="both"/>
        <w:rPr/>
      </w:pPr>
      <w:r>
        <w:rPr/>
        <w:t xml:space="preserve">If it will make it easier to transact, we can send a “draft” confirmation to the potential counterparty so they can get comfortable with our form. Please contact Jarrod Cyprow for this. Any questions regarding the substance of the Confirmation should be directed to Legal. </w:t>
      </w:r>
    </w:p>
    <w:p>
      <w:pPr>
        <w:pStyle w:val="Normal"/>
        <w:jc w:val="both"/>
        <w:rPr/>
      </w:pPr>
      <w:r>
        <w:rPr/>
      </w:r>
    </w:p>
    <w:p>
      <w:pPr>
        <w:pStyle w:val="Normal"/>
        <w:jc w:val="both"/>
        <w:rPr/>
      </w:pPr>
      <w:r>
        <w:rPr/>
        <w:t>2. Place of Booking: Normally, all deals should be booked with ENA unless there is a good reason to do otherwise (eg: Enron London already has an ISDA Master Agreement in place with the counterparty).</w:t>
      </w:r>
    </w:p>
    <w:p>
      <w:pPr>
        <w:pStyle w:val="Normal"/>
        <w:jc w:val="both"/>
        <w:rPr/>
      </w:pPr>
      <w:r>
        <w:rPr/>
      </w:r>
    </w:p>
    <w:p>
      <w:pPr>
        <w:pStyle w:val="Normal"/>
        <w:jc w:val="both"/>
        <w:rPr/>
      </w:pPr>
      <w:r>
        <w:rPr/>
      </w:r>
    </w:p>
    <w:p>
      <w:pPr>
        <w:pStyle w:val="Heading3"/>
        <w:ind w:hanging="0" w:start="0"/>
        <w:jc w:val="both"/>
        <w:rPr>
          <w:u w:val="single"/>
        </w:rPr>
      </w:pPr>
      <w:r>
        <w:rPr>
          <w:u w:val="single"/>
        </w:rPr>
        <w:t>Helpful Numbers</w:t>
      </w:r>
    </w:p>
    <w:p>
      <w:pPr>
        <w:pStyle w:val="Normal"/>
        <w:jc w:val="both"/>
        <w:rPr/>
      </w:pPr>
      <w:r>
        <w:rPr/>
        <w:t>Confirmations:  Jarrod Cyprow: 713-853-5700/ F: 713 _________</w:t>
      </w:r>
    </w:p>
    <w:p>
      <w:pPr>
        <w:pStyle w:val="Normal"/>
        <w:jc w:val="both"/>
        <w:rPr/>
      </w:pPr>
      <w:r>
        <w:rPr/>
        <w:t>Credit: Tanya Rohauer: T: 713-853-3263 / F: 713-853-9476</w:t>
      </w:r>
    </w:p>
    <w:p>
      <w:pPr>
        <w:pStyle w:val="Normal"/>
        <w:jc w:val="both"/>
        <w:rPr/>
      </w:pPr>
      <w:r>
        <w:rPr/>
        <w:t xml:space="preserve">Legal: Shari Stack  T: 713-853-9477/F: 713-646-3490     Paul Simons: T: 44-171-316-6566 / F: 970-7279 </w:t>
      </w:r>
    </w:p>
    <w:p>
      <w:pPr>
        <w:pStyle w:val="Normal"/>
        <w:rPr/>
      </w:pPr>
      <w:r>
        <w:rPr/>
      </w:r>
    </w:p>
    <w:p>
      <w:pPr>
        <w:pStyle w:val="Normal"/>
        <w:rPr/>
      </w:pPr>
      <w:r>
        <w:rPr/>
      </w:r>
    </w:p>
    <w:p>
      <w:pPr>
        <w:pStyle w:val="Normal"/>
        <w:rPr/>
      </w:pPr>
      <w:r>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sz w:val="16"/>
      </w:rPr>
    </w:pPr>
    <w:r>
      <w:rPr>
        <w:sz w:val="16"/>
      </w:rPr>
      <w:t>Version Current as of 11.16.99</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u w:val="single"/>
    </w:rPr>
  </w:style>
  <w:style w:type="paragraph" w:styleId="Heading2">
    <w:name w:val="heading 2"/>
    <w:basedOn w:val="Normal"/>
    <w:next w:val="Normal"/>
    <w:qFormat/>
    <w:pPr>
      <w:keepNext w:val="true"/>
      <w:numPr>
        <w:ilvl w:val="1"/>
        <w:numId w:val="1"/>
      </w:numPr>
      <w:outlineLvl w:val="1"/>
    </w:pPr>
    <w:rPr>
      <w:b/>
      <w:sz w:val="28"/>
    </w:rPr>
  </w:style>
  <w:style w:type="paragraph" w:styleId="Heading3">
    <w:name w:val="heading 3"/>
    <w:basedOn w:val="Normal"/>
    <w:next w:val="Normal"/>
    <w:qFormat/>
    <w:pPr>
      <w:keepNext w:val="true"/>
      <w:numPr>
        <w:ilvl w:val="2"/>
        <w:numId w:val="1"/>
      </w:numPr>
      <w:outlineLvl w:val="2"/>
    </w:pPr>
    <w:rPr>
      <w:b/>
    </w:rPr>
  </w:style>
  <w:style w:type="character" w:styleId="WW8Num1z0">
    <w:name w:val="WW8Num1z0"/>
    <w:qFormat/>
    <w:rPr>
      <w:rFonts w:ascii="Symbol" w:hAnsi="Symbol" w:cs="Symbol"/>
    </w:rPr>
  </w:style>
  <w:style w:type="character" w:styleId="WW8Num2z0">
    <w:name w:val="WW8Num2z0"/>
    <w:qFormat/>
    <w:rPr>
      <w:rFonts w:ascii="Wingdings" w:hAnsi="Wingdings" w:cs="Wingdings"/>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jc w:val="center"/>
    </w:pPr>
    <w:rPr>
      <w:b/>
      <w:sz w:val="32"/>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1999-11-16T15:11:00Z</dcterms:created>
  <dc:creator>Lucy Ortiz</dc:creator>
  <dc:description/>
  <dc:language>en-CA</dc:language>
  <cp:lastModifiedBy>sstack</cp:lastModifiedBy>
  <cp:lastPrinted>1999-11-16T12:09:00Z</cp:lastPrinted>
  <dcterms:modified xsi:type="dcterms:W3CDTF">1999-11-16T15:41:00Z</dcterms:modified>
  <cp:revision>3</cp:revision>
  <dc:subject/>
  <dc:title>International Weather Deal Procedures</dc:title>
</cp:coreProperties>
</file>