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rFonts w:ascii="Times New Roman" w:hAnsi="Times New Roman" w:cs="Times New Roman"/>
          <w:i w:val="false"/>
          <w:i w:val="false"/>
          <w:sz w:val="22"/>
        </w:rPr>
      </w:pPr>
      <w:r>
        <w:rPr>
          <w:rFonts w:cs="Times New Roman" w:ascii="Times New Roman" w:hAnsi="Times New Roman"/>
          <w:i w:val="false"/>
          <w:sz w:val="22"/>
        </w:rPr>
        <w:t>The Weather Risk Management Group has implemented a number of changes to better reflect the globalization of the weather market.  Mark Tawney, as head of the Weather Risk Management Group, will be responsible for the coordination of Enron’s global weather activities from the Houston office in addition to his responsibility for running the Houston desk.  These global responsibilities include:</w:t>
      </w:r>
    </w:p>
    <w:p>
      <w:pPr>
        <w:pStyle w:val="Heading1"/>
        <w:ind w:hanging="0" w:start="0"/>
        <w:jc w:val="both"/>
        <w:rPr>
          <w:rFonts w:ascii="Times New Roman" w:hAnsi="Times New Roman" w:cs="Times New Roman"/>
          <w:i w:val="false"/>
          <w:i w:val="false"/>
          <w:sz w:val="22"/>
        </w:rPr>
      </w:pPr>
      <w:r>
        <w:rPr>
          <w:rFonts w:cs="Times New Roman" w:ascii="Times New Roman" w:hAnsi="Times New Roman"/>
          <w:i w:val="false"/>
          <w:sz w:val="22"/>
        </w:rPr>
      </w:r>
    </w:p>
    <w:p>
      <w:pPr>
        <w:pStyle w:val="Heading1"/>
        <w:numPr>
          <w:ilvl w:val="0"/>
          <w:numId w:val="2"/>
        </w:numPr>
        <w:tabs>
          <w:tab w:val="clear" w:pos="720"/>
          <w:tab w:val="left" w:pos="420" w:leader="none"/>
        </w:tabs>
        <w:ind w:hanging="360" w:start="420" w:end="0"/>
        <w:jc w:val="both"/>
        <w:rPr>
          <w:rFonts w:ascii="Times New Roman" w:hAnsi="Times New Roman" w:cs="Times New Roman"/>
          <w:i w:val="false"/>
          <w:i w:val="false"/>
          <w:sz w:val="22"/>
        </w:rPr>
      </w:pPr>
      <w:r>
        <w:rPr>
          <w:rFonts w:cs="Times New Roman" w:ascii="Times New Roman" w:hAnsi="Times New Roman"/>
          <w:i w:val="false"/>
          <w:sz w:val="22"/>
        </w:rPr>
        <w:t xml:space="preserve">Global allocation of </w:t>
      </w:r>
      <w:hyperlink r:id="rId2">
        <w:r>
          <w:rPr>
            <w:rStyle w:val="Hyperlink"/>
          </w:rPr>
          <w:t>V@R</w:t>
        </w:r>
      </w:hyperlink>
      <w:r>
        <w:rPr>
          <w:rFonts w:cs="Times New Roman" w:ascii="Times New Roman" w:hAnsi="Times New Roman"/>
          <w:i w:val="false"/>
          <w:sz w:val="22"/>
        </w:rPr>
        <w:t xml:space="preserve"> and setting of additional risk limits;</w:t>
      </w:r>
    </w:p>
    <w:p>
      <w:pPr>
        <w:pStyle w:val="Heading1"/>
        <w:numPr>
          <w:ilvl w:val="0"/>
          <w:numId w:val="2"/>
        </w:numPr>
        <w:tabs>
          <w:tab w:val="clear" w:pos="720"/>
          <w:tab w:val="left" w:pos="420" w:leader="none"/>
        </w:tabs>
        <w:ind w:hanging="360" w:start="420" w:end="0"/>
        <w:jc w:val="both"/>
        <w:rPr>
          <w:rFonts w:ascii="Times New Roman" w:hAnsi="Times New Roman" w:cs="Times New Roman"/>
          <w:i w:val="false"/>
          <w:i w:val="false"/>
          <w:sz w:val="22"/>
        </w:rPr>
      </w:pPr>
      <w:r>
        <w:rPr>
          <w:rFonts w:cs="Times New Roman" w:ascii="Times New Roman" w:hAnsi="Times New Roman"/>
          <w:i w:val="false"/>
          <w:sz w:val="22"/>
        </w:rPr>
        <w:t xml:space="preserve">Development of a centralized weather system for data management, pricing and portfolio management; and </w:t>
      </w:r>
    </w:p>
    <w:p>
      <w:pPr>
        <w:pStyle w:val="Heading1"/>
        <w:numPr>
          <w:ilvl w:val="0"/>
          <w:numId w:val="2"/>
        </w:numPr>
        <w:tabs>
          <w:tab w:val="clear" w:pos="720"/>
          <w:tab w:val="left" w:pos="420" w:leader="none"/>
        </w:tabs>
        <w:ind w:hanging="360" w:start="420" w:end="0"/>
        <w:jc w:val="both"/>
        <w:rPr>
          <w:rFonts w:ascii="Times New Roman" w:hAnsi="Times New Roman" w:cs="Times New Roman"/>
          <w:i w:val="false"/>
          <w:i w:val="false"/>
          <w:sz w:val="22"/>
        </w:rPr>
      </w:pPr>
      <w:r>
        <w:rPr>
          <w:rFonts w:cs="Times New Roman" w:ascii="Times New Roman" w:hAnsi="Times New Roman"/>
          <w:i w:val="false"/>
          <w:sz w:val="22"/>
        </w:rPr>
        <w:t>Ensuring the transfer of knowledge among the global offices.</w:t>
      </w:r>
    </w:p>
    <w:p>
      <w:pPr>
        <w:pStyle w:val="Heading1"/>
        <w:ind w:hanging="0" w:start="0"/>
        <w:jc w:val="both"/>
        <w:rPr>
          <w:rFonts w:ascii="Times New Roman" w:hAnsi="Times New Roman" w:cs="Times New Roman"/>
          <w:i w:val="false"/>
          <w:i w:val="false"/>
          <w:sz w:val="22"/>
        </w:rPr>
      </w:pPr>
      <w:r>
        <w:rPr>
          <w:rFonts w:cs="Times New Roman" w:ascii="Times New Roman" w:hAnsi="Times New Roman"/>
          <w:i w:val="false"/>
          <w:sz w:val="22"/>
        </w:rPr>
      </w:r>
    </w:p>
    <w:p>
      <w:pPr>
        <w:pStyle w:val="Heading1"/>
        <w:ind w:hanging="0" w:start="0"/>
        <w:jc w:val="both"/>
        <w:rPr>
          <w:rFonts w:ascii="Times New Roman" w:hAnsi="Times New Roman" w:cs="Times New Roman"/>
          <w:b/>
          <w:i w:val="false"/>
          <w:i w:val="false"/>
          <w:color w:val="0000FF"/>
          <w:sz w:val="22"/>
        </w:rPr>
      </w:pPr>
      <w:r>
        <w:rPr>
          <w:rFonts w:cs="Times New Roman" w:ascii="Times New Roman" w:hAnsi="Times New Roman"/>
          <w:b/>
          <w:i w:val="false"/>
          <w:color w:val="0000FF"/>
          <w:sz w:val="22"/>
        </w:rPr>
        <w:t>Scenario I</w:t>
      </w:r>
    </w:p>
    <w:p>
      <w:pPr>
        <w:pStyle w:val="Heading1"/>
        <w:ind w:hanging="0" w:start="0"/>
        <w:jc w:val="both"/>
        <w:rPr>
          <w:rFonts w:ascii="Times New Roman" w:hAnsi="Times New Roman" w:cs="Times New Roman"/>
          <w:i w:val="false"/>
          <w:i w:val="false"/>
          <w:color w:val="0000FF"/>
          <w:sz w:val="22"/>
        </w:rPr>
      </w:pPr>
      <w:r>
        <w:rPr>
          <w:rFonts w:cs="Times New Roman" w:ascii="Times New Roman" w:hAnsi="Times New Roman"/>
          <w:i w:val="false"/>
          <w:color w:val="0000FF"/>
          <w:sz w:val="22"/>
        </w:rPr>
        <w:t xml:space="preserve">Thor Lien in the Oslo, Norway office will develop and be responsible for weather trading across Europe while continuing to manage the rest of Enron’s activities across the Nordic Region. The Oslo office has, over a number of years, developed a strong understanding of the relationship between weather and the power market. In addition to the Oslo office, Thor will establish and manage a weather trading desk in London. </w:t>
      </w:r>
    </w:p>
    <w:p>
      <w:pPr>
        <w:pStyle w:val="Normal"/>
        <w:rPr>
          <w:rFonts w:ascii="Times New Roman" w:hAnsi="Times New Roman" w:cs="Times New Roman"/>
          <w:i/>
          <w:i/>
          <w:color w:val="0000FF"/>
          <w:sz w:val="22"/>
        </w:rPr>
      </w:pPr>
      <w:r>
        <w:rPr>
          <w:rFonts w:cs="Times New Roman"/>
          <w:i/>
          <w:color w:val="0000FF"/>
          <w:sz w:val="22"/>
        </w:rPr>
      </w:r>
    </w:p>
    <w:p>
      <w:pPr>
        <w:pStyle w:val="Heading1"/>
        <w:ind w:hanging="0" w:start="0"/>
        <w:jc w:val="both"/>
        <w:rPr>
          <w:rFonts w:ascii="Times New Roman" w:hAnsi="Times New Roman" w:cs="Times New Roman"/>
          <w:b/>
          <w:i w:val="false"/>
          <w:i w:val="false"/>
          <w:color w:val="008000"/>
          <w:sz w:val="22"/>
        </w:rPr>
      </w:pPr>
      <w:r>
        <w:rPr>
          <w:rFonts w:cs="Times New Roman" w:ascii="Times New Roman" w:hAnsi="Times New Roman"/>
          <w:b/>
          <w:i w:val="false"/>
          <w:color w:val="008000"/>
          <w:sz w:val="22"/>
        </w:rPr>
        <w:t>Scenario II</w:t>
      </w:r>
    </w:p>
    <w:p>
      <w:pPr>
        <w:pStyle w:val="BodyText"/>
        <w:rPr/>
      </w:pPr>
      <w:r>
        <w:rPr>
          <w:color w:val="008000"/>
        </w:rPr>
        <w:t>Thor Lien (reporting to John Sheriff) in the Oslo, Norway office will develop and be responsible for weather trading across Scandinavia</w:t>
      </w:r>
      <w:r>
        <w:rPr>
          <w:i/>
          <w:color w:val="008000"/>
        </w:rPr>
        <w:t xml:space="preserve"> </w:t>
      </w:r>
      <w:r>
        <w:rPr>
          <w:color w:val="008000"/>
        </w:rPr>
        <w:t>while</w:t>
      </w:r>
      <w:r>
        <w:rPr>
          <w:i/>
          <w:color w:val="008000"/>
        </w:rPr>
        <w:t xml:space="preserve"> </w:t>
      </w:r>
      <w:r>
        <w:rPr>
          <w:color w:val="008000"/>
        </w:rPr>
        <w:t xml:space="preserve">continuing to manage the rest of Enron’s activities in the Nordic Region.  The Oslo office has, over a number of years, developed a strong understanding of the relationship between weather and the Nordic power market. </w:t>
      </w:r>
    </w:p>
    <w:p>
      <w:pPr>
        <w:pStyle w:val="BodyText"/>
        <w:rPr>
          <w:color w:val="008000"/>
        </w:rPr>
      </w:pPr>
      <w:r>
        <w:rPr>
          <w:color w:val="008000"/>
        </w:rPr>
      </w:r>
    </w:p>
    <w:p>
      <w:pPr>
        <w:pStyle w:val="BodyText"/>
        <w:rPr>
          <w:color w:val="008000"/>
        </w:rPr>
      </w:pPr>
      <w:r>
        <w:rPr>
          <w:color w:val="008000"/>
        </w:rPr>
        <w:t xml:space="preserve">Enron Global Markets will establish a trading desk in London headed by XXXXX. This desk will be responsible for trading weather across Europe, as London remains the center for weather trading in the nascent European market. </w:t>
      </w:r>
    </w:p>
    <w:p>
      <w:pPr>
        <w:pStyle w:val="BodyText"/>
        <w:rPr>
          <w:color w:val="008000"/>
        </w:rPr>
      </w:pPr>
      <w:r>
        <w:rPr>
          <w:color w:val="008000"/>
        </w:rPr>
      </w:r>
    </w:p>
    <w:p>
      <w:pPr>
        <w:pStyle w:val="BodyText"/>
        <w:rPr/>
      </w:pPr>
      <w:r>
        <w:rPr/>
        <w:t>Ross McIntyre (reporting to Mark Tawney), also in the London Office, will have responsibility for the optimization of the global portfolio and will provide analytical support to all regional offices.</w:t>
      </w:r>
    </w:p>
    <w:p>
      <w:pPr>
        <w:pStyle w:val="Normal"/>
        <w:jc w:val="both"/>
        <w:rPr>
          <w:sz w:val="22"/>
        </w:rPr>
      </w:pPr>
      <w:r>
        <w:rPr>
          <w:sz w:val="22"/>
        </w:rPr>
      </w:r>
    </w:p>
    <w:p>
      <w:pPr>
        <w:pStyle w:val="Normal"/>
        <w:jc w:val="both"/>
        <w:rPr>
          <w:sz w:val="22"/>
        </w:rPr>
      </w:pPr>
      <w:r>
        <w:rPr>
          <w:sz w:val="22"/>
        </w:rPr>
        <w:t xml:space="preserve">Morten Erik Peterson, reporting to Joe Hirl, will develop and be responsible for weather trading in Japan and Korea. Accordingly, Morten Erik will have Enron Online trading responsibility for all cities in these two countries.  </w:t>
      </w:r>
    </w:p>
    <w:p>
      <w:pPr>
        <w:pStyle w:val="Normal"/>
        <w:jc w:val="both"/>
        <w:rPr>
          <w:sz w:val="22"/>
        </w:rPr>
      </w:pPr>
      <w:r>
        <w:rPr>
          <w:sz w:val="22"/>
        </w:rPr>
      </w:r>
    </w:p>
    <w:p>
      <w:pPr>
        <w:pStyle w:val="BodyText"/>
        <w:rPr/>
      </w:pPr>
      <w:r>
        <w:rPr/>
        <w:t>Raymond Yeow in Sydney, reporting to Paul Quilkey, will develop and be responsible for weather trading in Australia and South East Asia. Accordingly, Raymond will have Enron Online trading responsibility for all cities in these areas. Additionally, Christian Werner, reporting to Raymond Yeow will provide climatological and meteorological support to all offices.</w:t>
      </w:r>
    </w:p>
    <w:p>
      <w:pPr>
        <w:pStyle w:val="Heading1"/>
        <w:ind w:hanging="0" w:start="0"/>
        <w:jc w:val="both"/>
        <w:rPr>
          <w:rFonts w:ascii="Times New Roman" w:hAnsi="Times New Roman" w:cs="Times New Roman"/>
          <w:i w:val="false"/>
          <w:i w:val="false"/>
          <w:sz w:val="22"/>
        </w:rPr>
      </w:pPr>
      <w:r>
        <w:rPr>
          <w:rFonts w:cs="Times New Roman" w:ascii="Times New Roman" w:hAnsi="Times New Roman"/>
          <w:i w:val="false"/>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Tahoma" w:hAnsi="Tahoma" w:cs="Tahoma"/>
      <w:i/>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R"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2000-10-17T21:23:00Z</dcterms:created>
  <dc:creator>bconewa</dc:creator>
  <dc:description/>
  <dc:language>en-CA</dc:language>
  <cp:lastModifiedBy>Mark R Tawney</cp:lastModifiedBy>
  <cp:lastPrinted>2000-10-17T18:14:00Z</cp:lastPrinted>
  <dcterms:modified xsi:type="dcterms:W3CDTF">2000-10-17T21:23:00Z</dcterms:modified>
  <cp:revision>2</cp:revision>
  <dc:subject/>
  <dc:title>The Weather Risk Management Group has implemented a number of changes to better reflect the globalization of the weather market</dc:title>
</cp:coreProperties>
</file>