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Water Transfer Issues</w:t>
      </w:r>
    </w:p>
    <w:p>
      <w:pPr>
        <w:pStyle w:val="Normal"/>
        <w:rPr/>
      </w:pPr>
      <w:r>
        <w:rPr/>
      </w:r>
    </w:p>
    <w:p>
      <w:pPr>
        <w:pStyle w:val="Normal"/>
        <w:rPr/>
      </w:pPr>
      <w:r>
        <w:rPr/>
        <w:t xml:space="preserve">Regulatory Certainty - </w:t>
      </w:r>
    </w:p>
    <w:p>
      <w:pPr>
        <w:pStyle w:val="Normal"/>
        <w:ind w:start="720" w:end="0"/>
        <w:rPr/>
      </w:pPr>
      <w:r>
        <w:rPr/>
      </w:r>
    </w:p>
    <w:p>
      <w:pPr>
        <w:pStyle w:val="Normal"/>
        <w:ind w:start="720" w:end="0"/>
        <w:rPr/>
      </w:pPr>
      <w:r>
        <w:rPr/>
        <w:t>The existing transfer provisions should be streamlined and consolidated into a set of statewide rules governing water transfers that specifically allows for water banks and conjunctive use. The transfer rules should distinguish between long-term transfers and shorter-term transactions (up to three years).  Transfer option agreements should either be exempt from CEQA or should be subject to an expedited review process.</w:t>
      </w:r>
    </w:p>
    <w:p>
      <w:pPr>
        <w:pStyle w:val="Normal"/>
        <w:ind w:start="720" w:end="0"/>
        <w:rPr/>
      </w:pPr>
      <w:r>
        <w:rPr/>
      </w:r>
    </w:p>
    <w:p>
      <w:pPr>
        <w:pStyle w:val="Normal"/>
        <w:ind w:start="720" w:end="0"/>
        <w:rPr/>
      </w:pPr>
      <w:r>
        <w:rPr/>
        <w:t>Engaging in the water transfer process should not be considered evidence that the transferor is engaging is wasteful of unreasonable use of the water subject to the transfer discussions.  Neither should the transfer of water be considered an abandonment or forfeiture of any water contract or right.</w:t>
      </w:r>
    </w:p>
    <w:p>
      <w:pPr>
        <w:pStyle w:val="Normal"/>
        <w:ind w:start="720" w:end="0"/>
        <w:rPr/>
      </w:pPr>
      <w:r>
        <w:rPr/>
      </w:r>
    </w:p>
    <w:p>
      <w:pPr>
        <w:pStyle w:val="Normal"/>
        <w:ind w:start="720" w:end="0"/>
        <w:rPr/>
      </w:pPr>
      <w:r>
        <w:rPr/>
        <w:t>Third party impacts and mechanisms for mitigating them should be defined in state law.  IF mitigation fees are imposed, those revenues should be used to mitigate the identified third party impact.  However, water transfers should not be used as a surrogate for a statewide policy on urbanization of agricultural areas.</w:t>
      </w:r>
    </w:p>
    <w:p>
      <w:pPr>
        <w:pStyle w:val="Normal"/>
        <w:ind w:start="720" w:end="0"/>
        <w:rPr/>
      </w:pPr>
      <w:r>
        <w:rPr/>
      </w:r>
    </w:p>
    <w:p>
      <w:pPr>
        <w:pStyle w:val="Normal"/>
        <w:rPr/>
      </w:pPr>
      <w:r>
        <w:rPr/>
        <w:t xml:space="preserve">Access to Conveyance – </w:t>
      </w:r>
    </w:p>
    <w:p>
      <w:pPr>
        <w:pStyle w:val="Normal"/>
        <w:rPr/>
      </w:pPr>
      <w:r>
        <w:rPr/>
      </w:r>
    </w:p>
    <w:p>
      <w:pPr>
        <w:pStyle w:val="BodyTextIndent"/>
        <w:rPr/>
      </w:pPr>
      <w:r>
        <w:rPr/>
        <w:t>Access to non-contracted system capacity should be by auction.  The system owner(s) and/or contractors should also have to participate in the auction process for any capacity in excess of their contracted allotment.</w:t>
      </w:r>
    </w:p>
    <w:p>
      <w:pPr>
        <w:pStyle w:val="BodyTextIndent"/>
        <w:rPr/>
      </w:pPr>
      <w:r>
        <w:rPr/>
      </w:r>
    </w:p>
    <w:p>
      <w:pPr>
        <w:pStyle w:val="BodyTextIndent"/>
        <w:ind w:start="0" w:end="0"/>
        <w:rPr/>
      </w:pPr>
      <w:r>
        <w:rPr/>
        <w:t xml:space="preserve">Displaced Sales – </w:t>
      </w:r>
    </w:p>
    <w:p>
      <w:pPr>
        <w:pStyle w:val="BodyTextIndent"/>
        <w:ind w:start="0" w:end="0"/>
        <w:rPr/>
      </w:pPr>
      <w:r>
        <w:rPr/>
      </w:r>
    </w:p>
    <w:p>
      <w:pPr>
        <w:pStyle w:val="BodyTextIndent"/>
        <w:rPr/>
      </w:pPr>
      <w:r>
        <w:rPr/>
        <w:t>Displaced sales should be defined as those contractual commitments for water deliveries that would have occurred but for delivery of water from a third party, including but not limited to water transfers, groundwater recovery, reclamation or desalination, to the extent that such projects are not included in existing water contracts.</w:t>
      </w:r>
    </w:p>
    <w:p>
      <w:pPr>
        <w:pStyle w:val="BodyTextIndent"/>
        <w:rPr/>
      </w:pPr>
      <w:r>
        <w:rPr/>
      </w:r>
    </w:p>
    <w:p>
      <w:pPr>
        <w:pStyle w:val="BodyTextIndent"/>
        <w:ind w:start="0" w:end="0"/>
        <w:rPr/>
      </w:pPr>
      <w:r>
        <w:rPr/>
        <w:t>Water Conservation –</w:t>
      </w:r>
    </w:p>
    <w:p>
      <w:pPr>
        <w:pStyle w:val="BodyTextIndent"/>
        <w:ind w:start="0" w:end="0"/>
        <w:rPr/>
      </w:pPr>
      <w:r>
        <w:rPr/>
      </w:r>
    </w:p>
    <w:p>
      <w:pPr>
        <w:pStyle w:val="BodyTextIndent"/>
        <w:rPr/>
      </w:pPr>
      <w:r>
        <w:rPr/>
        <w:t>To the extent that water transfers can encourage the implementation of conservation, reclamation, surface storage, and conjunctive use programs, such transfers should receive expedited permit processing.</w:t>
      </w:r>
    </w:p>
    <w:p>
      <w:pPr>
        <w:pStyle w:val="BodyTextIndent"/>
        <w:rPr/>
      </w:pPr>
      <w:r>
        <w:rPr/>
      </w:r>
    </w:p>
    <w:p>
      <w:pPr>
        <w:pStyle w:val="BodyTextIndent"/>
        <w:ind w:start="0" w:end="0"/>
        <w:rPr/>
      </w:pPr>
      <w:r>
        <w:rPr/>
        <w:t xml:space="preserve">Water Quality – </w:t>
      </w:r>
    </w:p>
    <w:p>
      <w:pPr>
        <w:pStyle w:val="BodyTextIndent"/>
        <w:ind w:start="0" w:end="0"/>
        <w:rPr/>
      </w:pPr>
      <w:r>
        <w:rPr/>
      </w:r>
    </w:p>
    <w:p>
      <w:pPr>
        <w:pStyle w:val="BodyTextIndent"/>
        <w:rPr/>
      </w:pPr>
      <w:r>
        <w:rPr/>
        <w:t xml:space="preserve">It should be the responsibility of the transferring entity to ensure that the transferred water will not decrease the quality of water in the conveyance system or in the end-use facility.  Likewise, the conveyance system operator has the responsibility to ensure that the water delivered to the end-use facility is of comparable quality to the water introduced into the conveyance system by the transferor.  </w:t>
      </w:r>
    </w:p>
    <w:p>
      <w:pPr>
        <w:pStyle w:val="BodyTextIndent"/>
        <w:rPr/>
      </w:pPr>
      <w:r>
        <w:rPr/>
      </w:r>
    </w:p>
    <w:p>
      <w:pPr>
        <w:pStyle w:val="BodyTextIndent"/>
        <w:ind w:start="0" w:end="0"/>
        <w:rPr/>
      </w:pPr>
      <w:r>
        <w:rPr/>
        <w:t xml:space="preserve">Water Transfer Information – </w:t>
      </w:r>
    </w:p>
    <w:p>
      <w:pPr>
        <w:pStyle w:val="BodyTextIndent"/>
        <w:ind w:start="0" w:end="0"/>
        <w:rPr/>
      </w:pPr>
      <w:r>
        <w:rPr/>
      </w:r>
    </w:p>
    <w:p>
      <w:pPr>
        <w:pStyle w:val="BodyTextIndent"/>
        <w:rPr/>
      </w:pPr>
      <w:r>
        <w:rPr/>
        <w:t>In order for water transfers to succeed, there needs to be a transparent, accessible source of information on water resources in the state, including but not limited to state and local water laws and regulations, real-time information on water storage and conveyance facility capacity and quality, local and regional water planning documents, proposed water projects, water use permits executed transfer agreements, and transfer applications and their permit status.   This can best be accomplished through the use of Internet-based technology.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2000-02-25T00:38:00Z</dcterms:created>
  <dc:creator>Carolyn L.Green</dc:creator>
  <dc:description/>
  <dc:language>en-CA</dc:language>
  <cp:lastModifiedBy>Carolyn Green</cp:lastModifiedBy>
  <cp:lastPrinted>2000-02-25T15:04:00Z</cp:lastPrinted>
  <dcterms:modified xsi:type="dcterms:W3CDTF">2000-02-25T20:11:00Z</dcterms:modified>
  <cp:revision>4</cp:revision>
  <dc:subject/>
  <dc:title>Water Transfers: Legislative Issues</dc:title>
</cp:coreProperties>
</file>