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rPr/>
      </w:pPr>
      <w:r>
        <mc:AlternateContent>
          <mc:Choice Requires="wps">
            <w:drawing>
              <wp:anchor behindDoc="0" distT="0" distB="0" distL="114935" distR="114935" simplePos="0" locked="0" layoutInCell="1" allowOverlap="1" relativeHeight="5">
                <wp:simplePos x="0" y="0"/>
                <wp:positionH relativeFrom="column">
                  <wp:posOffset>-22860</wp:posOffset>
                </wp:positionH>
                <wp:positionV relativeFrom="paragraph">
                  <wp:posOffset>685800</wp:posOffset>
                </wp:positionV>
                <wp:extent cx="5120640" cy="0"/>
                <wp:effectExtent l="0" t="5080" r="0" b="5080"/>
                <wp:wrapNone/>
                <wp:docPr id="1"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4pt" to="401.35pt,54pt" stroked="t" o:allowincell="f" style="position:absolute">
                <v:stroke color="black" weight="9360" joinstyle="miter" endcap="flat"/>
                <v:fill o:detectmouseclick="t" on="false"/>
                <w10:wrap type="none"/>
              </v:line>
            </w:pict>
          </mc:Fallback>
        </mc:AlternateContent>
      </w:r>
      <w:r>
        <w:rPr/>
        <w:t>Watch 2000</w:t>
      </w:r>
      <w:r>
        <mc:AlternateContent>
          <mc:Choice Requires="wps">
            <w:drawing>
              <wp:anchor behindDoc="0" distT="57150" distB="57150" distL="57150" distR="57150" simplePos="0" locked="0" layoutInCell="0" allowOverlap="1" relativeHeight="2">
                <wp:simplePos x="0" y="0"/>
                <wp:positionH relativeFrom="page">
                  <wp:posOffset>202565</wp:posOffset>
                </wp:positionH>
                <wp:positionV relativeFrom="page">
                  <wp:posOffset>183515</wp:posOffset>
                </wp:positionV>
                <wp:extent cx="1847850" cy="1828800"/>
                <wp:effectExtent l="0" t="0" r="0" b="0"/>
                <wp:wrapSquare wrapText="bothSides"/>
                <wp:docPr id="2" name="Frame1"/>
                <a:graphic xmlns:a="http://schemas.openxmlformats.org/drawingml/2006/main">
                  <a:graphicData uri="http://schemas.microsoft.com/office/word/2010/wordprocessingShape">
                    <wps:wsp>
                      <wps:cNvSpPr txBox="1"/>
                      <wps:spPr>
                        <a:xfrm>
                          <a:off x="0" y="0"/>
                          <a:ext cx="1847850" cy="1828800"/>
                        </a:xfrm>
                        <a:prstGeom prst="rect"/>
                        <a:solidFill>
                          <a:srgbClr val="FFFFFF">
                            <a:alpha val="0"/>
                          </a:srgbClr>
                        </a:solidFill>
                        <a:ln w="9525">
                          <a:solidFill>
                            <a:srgbClr val="FFFFFF"/>
                          </a:solidFill>
                        </a:ln>
                      </wps:spPr>
                      <wps:txbx>
                        <w:txbxContent>
                          <w:p>
                            <w:pPr>
                              <w:pStyle w:val="Normal"/>
                              <w:rPr>
                                <w:rFonts w:ascii="Eurostile;News Gothic MT" w:hAnsi="Eurostile;News Gothic MT" w:cs="Eurostile;News Gothic MT"/>
                              </w:rPr>
                            </w:pPr>
                            <w:r>
                              <w:rPr>
                                <w:sz w:val="20"/>
                              </w:rPr>
                              <w:drawing>
                                <wp:inline distT="0" distB="0" distL="0" distR="0">
                                  <wp:extent cx="1889760" cy="18897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99" t="-499" r="-499" b="-499"/>
                                          <a:stretch>
                                            <a:fillRect/>
                                          </a:stretch>
                                        </pic:blipFill>
                                        <pic:spPr bwMode="auto">
                                          <a:xfrm>
                                            <a:off x="0" y="0"/>
                                            <a:ext cx="1889760" cy="188976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145.5pt;height:144pt;mso-wrap-distance-left:4.5pt;mso-wrap-distance-right:4.5pt;mso-wrap-distance-top:4.5pt;mso-wrap-distance-bottom:4.5pt;margin-top:14.45pt;mso-position-vertical-relative:page;margin-left:15.95pt;mso-position-horizontal-relative:page">
                <v:fill opacity="0f"/>
                <v:textbox inset="0in,0in,0in,0in">
                  <w:txbxContent>
                    <w:p>
                      <w:pPr>
                        <w:pStyle w:val="Normal"/>
                        <w:rPr>
                          <w:rFonts w:ascii="Eurostile;News Gothic MT" w:hAnsi="Eurostile;News Gothic MT" w:cs="Eurostile;News Gothic MT"/>
                        </w:rPr>
                      </w:pPr>
                      <w:r>
                        <w:rPr>
                          <w:sz w:val="20"/>
                        </w:rPr>
                        <w:drawing>
                          <wp:inline distT="0" distB="0" distL="0" distR="0">
                            <wp:extent cx="1889760" cy="188976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499" t="-499" r="-499" b="-499"/>
                                    <a:stretch>
                                      <a:fillRect/>
                                    </a:stretch>
                                  </pic:blipFill>
                                  <pic:spPr bwMode="auto">
                                    <a:xfrm>
                                      <a:off x="0" y="0"/>
                                      <a:ext cx="1889760" cy="1889760"/>
                                    </a:xfrm>
                                    <a:prstGeom prst="rect">
                                      <a:avLst/>
                                    </a:prstGeom>
                                    <a:noFill/>
                                  </pic:spPr>
                                </pic:pic>
                              </a:graphicData>
                            </a:graphic>
                          </wp:inline>
                        </w:drawing>
                      </w:r>
                    </w:p>
                  </w:txbxContent>
                </v:textbox>
                <w10:wrap type="square"/>
              </v:rect>
            </w:pict>
          </mc:Fallback>
        </mc:AlternateContent>
      </w:r>
    </w:p>
    <w:p>
      <w:pPr>
        <w:pStyle w:val="Header"/>
        <w:tabs>
          <w:tab w:val="clear" w:pos="4320"/>
          <w:tab w:val="clear" w:pos="8640"/>
        </w:tabs>
        <w:jc w:val="end"/>
        <w:rPr>
          <w:rFonts w:ascii="Eurostile;News Gothic MT" w:hAnsi="Eurostile;News Gothic MT" w:cs="Eurostile;News Gothic MT"/>
          <w:b/>
          <w:i/>
          <w:i/>
          <w:sz w:val="28"/>
          <w:lang w:val="en-CA" w:eastAsia="en-CA"/>
        </w:rPr>
      </w:pPr>
      <w:r>
        <mc:AlternateContent>
          <mc:Choice Requires="wps">
            <w:drawing>
              <wp:anchor behindDoc="1" distT="0" distB="0" distL="114935" distR="114300" simplePos="0" locked="0" layoutInCell="0" allowOverlap="1" relativeHeight="4">
                <wp:simplePos x="0" y="0"/>
                <wp:positionH relativeFrom="page">
                  <wp:posOffset>228600</wp:posOffset>
                </wp:positionH>
                <wp:positionV relativeFrom="page">
                  <wp:posOffset>228600</wp:posOffset>
                </wp:positionV>
                <wp:extent cx="12065" cy="9050655"/>
                <wp:effectExtent l="635" t="635" r="0" b="0"/>
                <wp:wrapNone/>
                <wp:docPr id="5" name=""/>
                <a:graphic xmlns:a="http://schemas.openxmlformats.org/drawingml/2006/main">
                  <a:graphicData uri="http://schemas.microsoft.com/office/word/2010/wordprocessingShape">
                    <wps:wsp>
                      <wps:cNvSpPr/>
                      <wps:spPr>
                        <a:xfrm>
                          <a:off x="0" y="0"/>
                          <a:ext cx="12240" cy="9050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8pt;margin-top:18pt;width:0.9pt;height:712.6pt;mso-wrap-style:none;v-text-anchor:middle;mso-position-horizontal-relative:page;mso-position-vertical-relative:page">
                <v:fill o:detectmouseclick="t" type="solid" color2="white"/>
                <v:stroke color="#3465a4" joinstyle="round" endcap="flat"/>
                <w10:wrap type="none"/>
              </v:rect>
            </w:pict>
          </mc:Fallback>
        </mc:AlternateContent>
      </w:r>
      <w:r>
        <w:rPr>
          <w:rFonts w:cs="Eurostile;News Gothic MT" w:ascii="Eurostile;News Gothic MT" w:hAnsi="Eurostile;News Gothic MT"/>
          <w:b/>
          <w:i/>
          <w:sz w:val="28"/>
          <w:lang w:val="en-CA" w:eastAsia="en-CA"/>
        </w:rPr>
        <w:t>An assessment of breaking global strategic developments</w:t>
      </w:r>
    </w:p>
    <w:p>
      <w:pPr>
        <w:pStyle w:val="Header"/>
        <w:tabs>
          <w:tab w:val="clear" w:pos="4320"/>
          <w:tab w:val="clear" w:pos="8640"/>
        </w:tabs>
        <w:jc w:val="end"/>
        <w:rPr/>
      </w:pPr>
      <w:r>
        <w:rPr>
          <w:rFonts w:cs="Eurostile;News Gothic MT" w:ascii="Eurostile;News Gothic MT" w:hAnsi="Eurostile;News Gothic MT"/>
          <w:b/>
          <w:i/>
          <w:sz w:val="28"/>
          <w:lang w:val="en-CA" w:eastAsia="en-CA"/>
        </w:rPr>
        <w:t xml:space="preserve">Number 235 </w:t>
      </w:r>
      <w:r>
        <w:rPr>
          <w:rFonts w:eastAsia="Symbol" w:cs="Symbol" w:ascii="Symbol" w:hAnsi="Symbol"/>
          <w:b/>
          <w:i/>
          <w:sz w:val="28"/>
          <w:lang w:val="en-CA" w:eastAsia="en-CA"/>
        </w:rPr>
        <w:sym w:font="Symbol" w:char="f0b7"/>
      </w:r>
      <w:r>
        <w:rPr>
          <w:rFonts w:cs="Eurostile;News Gothic MT" w:ascii="Eurostile;News Gothic MT" w:hAnsi="Eurostile;News Gothic MT"/>
          <w:b/>
          <w:i/>
          <w:sz w:val="28"/>
          <w:lang w:val="en-CA" w:eastAsia="en-CA"/>
        </w:rPr>
        <w:t xml:space="preserve"> October 6, 2000</w:t>
      </w:r>
    </w:p>
    <w:p>
      <w:pPr>
        <w:pStyle w:val="Header"/>
        <w:tabs>
          <w:tab w:val="clear" w:pos="4320"/>
          <w:tab w:val="clear" w:pos="8640"/>
        </w:tabs>
        <w:ind w:start="720" w:end="0"/>
        <w:jc w:val="end"/>
        <w:rPr>
          <w:rFonts w:ascii="Eurostile;News Gothic MT" w:hAnsi="Eurostile;News Gothic MT" w:cs="Eurostile;News Gothic MT"/>
          <w:b/>
          <w:i/>
          <w:i/>
          <w:sz w:val="20"/>
          <w:lang w:val="en-CA" w:eastAsia="en-CA"/>
        </w:rPr>
      </w:pPr>
      <w:r>
        <w:rPr>
          <w:rFonts w:cs="Eurostile;News Gothic MT" w:ascii="Eurostile;News Gothic MT" w:hAnsi="Eurostile;News Gothic MT"/>
          <w:b/>
          <w:i/>
          <w:sz w:val="20"/>
          <w:lang w:val="en-CA" w:eastAsia="en-CA"/>
        </w:rPr>
      </w:r>
    </w:p>
    <w:p>
      <w:pPr>
        <w:pStyle w:val="Heading1"/>
        <w:ind w:hanging="0" w:start="0"/>
        <w:rPr>
          <w:rFonts w:ascii="Eurostile;News Gothic MT" w:hAnsi="Eurostile;News Gothic MT" w:cs="Eurostile;News Gothic MT"/>
          <w:b w:val="false"/>
          <w:kern w:val="0"/>
          <w:sz w:val="20"/>
          <w:lang w:val="en-CA" w:eastAsia="en-CA"/>
        </w:rPr>
      </w:pPr>
      <w:r>
        <w:rPr>
          <w:rFonts w:cs="Eurostile;News Gothic MT" w:ascii="Eurostile;News Gothic MT" w:hAnsi="Eurostile;News Gothic MT"/>
          <w:b w:val="false"/>
          <w:kern w:val="0"/>
          <w:sz w:val="20"/>
          <w:lang w:val="en-CA" w:eastAsia="en-CA"/>
        </w:rPr>
      </w:r>
    </w:p>
    <w:p>
      <w:pPr>
        <w:pStyle w:val="BodyText3"/>
        <w:rPr>
          <w:rFonts w:ascii="Times New Roman" w:hAnsi="Times New Roman" w:cs="Times New Roman"/>
          <w:b/>
          <w:kern w:val="0"/>
          <w:sz w:val="24"/>
          <w:lang w:val="en-CA" w:eastAsia="en-CA"/>
        </w:rPr>
      </w:pPr>
      <w:r>
        <w:rPr>
          <w:rFonts w:cs="Times New Roman" w:ascii="Times New Roman" w:hAnsi="Times New Roman"/>
          <w:b/>
          <w:kern w:val="0"/>
          <w:sz w:val="24"/>
          <w:lang w:val="en-CA" w:eastAsia="en-CA"/>
        </w:rPr>
      </w:r>
    </w:p>
    <w:p>
      <w:pPr>
        <w:pStyle w:val="BodyText3"/>
        <w:rPr/>
      </w:pPr>
      <w:r>
        <w:rPr>
          <w:rFonts w:cs="Times New Roman" w:ascii="Times New Roman" w:hAnsi="Times New Roman"/>
          <w:b/>
        </w:rPr>
        <w:t xml:space="preserve">Energy Trends and Geopolitics. </w:t>
      </w:r>
      <w:r>
        <w:rPr>
          <w:rFonts w:cs="Times New Roman" w:ascii="Times New Roman" w:hAnsi="Times New Roman"/>
        </w:rPr>
        <w:t>The OPEC heads-of-state summit should be appraised on three different levels, according to Luis Giusti, CSIS senior adviser. Despite speculation that decisions about the market would be forthcoming, nothing was bound to happen because the operational agenda will be dealt with in the organization’s meeting in November. At the institutional level, the summit was undoubtedly a success for OPEC, as it clearly reinforced the spirit of the organization by strengthening the union among member countries. Additionally, at the political level the meeting provided a platform for Venezuelan president Hugo Chavez to deliver what has become his "north-south" position and message. It is important to keep in mind, though, that Saudi Arabia’s dominance and leadership will continue, by virtue of its high production capacity, and we can expect continuity in its pragmatic approach toward the market and the price of oil. As a result, Chavez’s speeches should be viewed in perspective and not overplayed.</w:t>
      </w:r>
    </w:p>
    <w:p>
      <w:pPr>
        <w:pStyle w:val="Normal"/>
        <w:jc w:val="both"/>
        <w:rPr>
          <w:rFonts w:ascii="Times New Roman" w:hAnsi="Times New Roman" w:cs="Times New Roman"/>
          <w:sz w:val="22"/>
        </w:rPr>
      </w:pPr>
      <w:r>
        <w:rPr>
          <w:rFonts w:cs="Times New Roman"/>
          <w:sz w:val="22"/>
        </w:rPr>
      </w:r>
    </w:p>
    <w:p>
      <w:pPr>
        <w:pStyle w:val="Normal"/>
        <w:jc w:val="both"/>
        <w:rPr/>
      </w:pPr>
      <w:r>
        <w:rPr>
          <w:sz w:val="22"/>
        </w:rPr>
        <w:t>As for the United States'</w:t>
      </w:r>
      <w:r>
        <w:rPr>
          <w:b/>
          <w:sz w:val="22"/>
        </w:rPr>
        <w:t xml:space="preserve"> </w:t>
      </w:r>
      <w:r>
        <w:rPr>
          <w:sz w:val="22"/>
        </w:rPr>
        <w:t>release of 30 million barrels of oil from the Strategic Petroleum Reserve (SPR), Giusti says that the move has clearly provoked an immediate reaction in the desired direction, with oil prices falling some $5 per barrel. In tapping the SPR at this moment, the U.S. action denotes a mode of cooperation and not confrontation. OPEC countries have already increased production significantly, and they have repeatedly sent the message that they have done their part and somebody else has to do something to bring down prices. The move comes too late, however, to bring any relief to the winter’s tight oil heating situation: aside from the fact that the U.S. refining network is operating at practically full capacity, the oil released will not be refined before December, and, as a result, the refined products will not start reaching the market before January. But the move does have an effect on the price of oil, which is the root of the problem. As for</w:t>
      </w:r>
      <w:r>
        <w:rPr>
          <w:b/>
          <w:sz w:val="22"/>
        </w:rPr>
        <w:t xml:space="preserve"> </w:t>
      </w:r>
      <w:r>
        <w:rPr>
          <w:sz w:val="22"/>
        </w:rPr>
        <w:t xml:space="preserve">the Heating Oil Strategic Reserve currently being accrued, its small size (2 million barrels) can have only a modest impact on prices. Moreover, its triggering mechanism is not yet clear.     </w:t>
      </w:r>
    </w:p>
    <w:p>
      <w:pPr>
        <w:pStyle w:val="Normal"/>
        <w:jc w:val="both"/>
        <w:rPr>
          <w:sz w:val="22"/>
        </w:rPr>
      </w:pPr>
      <w:r>
        <w:rPr>
          <w:sz w:val="22"/>
        </w:rPr>
      </w:r>
    </w:p>
    <w:p>
      <w:pPr>
        <w:pStyle w:val="Normal"/>
        <w:jc w:val="both"/>
        <w:rPr/>
      </w:pPr>
      <w:r>
        <w:rPr>
          <w:sz w:val="22"/>
        </w:rPr>
        <w:t>Robert Ebel, director of the CSIS Energy Program, thinks the United States should not touch the reserve. Domestic oil producers are finally turning a profit and will be unhappy as crude oil prices fall. Moreover, just-in-time philosophies of operation keep stocks low, meaning the inventories simply will not be there if demand rises sharply</w:t>
      </w:r>
      <w:r>
        <w:rPr>
          <w:b/>
          <w:sz w:val="22"/>
        </w:rPr>
        <w:t xml:space="preserve"> </w:t>
      </w:r>
      <w:r>
        <w:rPr>
          <w:sz w:val="22"/>
        </w:rPr>
        <w:t xml:space="preserve">this winter despite the release of reserves. Ebel suggests that New England take steps to diversify the kinds of fuel consumed during the winter. </w:t>
      </w:r>
    </w:p>
    <w:p>
      <w:pPr>
        <w:pStyle w:val="Normal"/>
        <w:jc w:val="both"/>
        <w:rPr>
          <w:sz w:val="22"/>
        </w:rPr>
      </w:pPr>
      <w:r>
        <w:rPr>
          <w:sz w:val="22"/>
        </w:rPr>
      </w:r>
    </w:p>
    <w:p>
      <w:pPr>
        <w:pStyle w:val="Normal"/>
        <w:jc w:val="both"/>
        <w:rPr>
          <w:sz w:val="22"/>
        </w:rPr>
      </w:pPr>
      <w:r>
        <w:rPr>
          <w:sz w:val="22"/>
        </w:rPr>
        <w:t xml:space="preserve">According to Ebel, the reserve withdraw is playing to the psychological part of the market more than anything else. After the announcement of the reserve withdraw, prices began to drop without a single new drop of oil entering the marketplace. What will happen next August when it is time to replenish the reserve, wonders Ebel. </w:t>
      </w:r>
    </w:p>
    <w:p>
      <w:pPr>
        <w:pStyle w:val="Normal"/>
        <w:jc w:val="both"/>
        <w:rPr>
          <w:sz w:val="22"/>
        </w:rPr>
      </w:pPr>
      <w:r>
        <w:rPr>
          <w:sz w:val="22"/>
        </w:rPr>
      </w:r>
    </w:p>
    <w:p>
      <w:pPr>
        <w:pStyle w:val="Normal"/>
        <w:jc w:val="both"/>
        <w:rPr/>
      </w:pPr>
      <w:r>
        <w:rPr>
          <w:sz w:val="22"/>
        </w:rPr>
        <w:t>Moreover, U.S. refineries are already operating at 95%-96% capacity daily. To make room in the refineries for the reserve oil, the United States will have to give up some of the oil it imports. This crowding out of imports will bring down prices elsewhere, notes Ebel. The United States is therefore subsidizing foreign consumers. Ebel says the United States should have coordinated the reserve withdraw with other countries if it truly wanted to have a global impact on prices.</w:t>
      </w:r>
      <w:r>
        <w:rPr>
          <w:b/>
          <w:sz w:val="22"/>
        </w:rPr>
        <w:t xml:space="preserve"> </w:t>
      </w:r>
    </w:p>
    <w:p>
      <w:pPr>
        <w:pStyle w:val="Normal"/>
        <w:jc w:val="both"/>
        <w:rPr>
          <w:b/>
          <w:sz w:val="22"/>
        </w:rPr>
      </w:pPr>
      <w:r>
        <w:rPr>
          <w:b/>
          <w:sz w:val="22"/>
        </w:rPr>
      </w:r>
    </w:p>
    <w:p>
      <w:pPr>
        <w:pStyle w:val="Normal"/>
        <w:jc w:val="both"/>
        <w:rPr/>
      </w:pPr>
      <w:r>
        <w:rPr>
          <w:sz w:val="22"/>
        </w:rPr>
        <w:t>Turning to Iraq, the high price of oil contributes to the erosion of the sanctions in place. Iraqi oil now plays a key role in global supplies and prices. This gives the Iraqi</w:t>
      </w:r>
      <w:r>
        <w:rPr>
          <w:b/>
          <w:sz w:val="22"/>
        </w:rPr>
        <w:t xml:space="preserve"> </w:t>
      </w:r>
      <w:r>
        <w:rPr>
          <w:sz w:val="22"/>
        </w:rPr>
        <w:t xml:space="preserve">regime increased leverage, says Charles Duelfer, a visiting fellow in the CSIS Middle East Program. </w:t>
      </w:r>
    </w:p>
    <w:p>
      <w:pPr>
        <w:pStyle w:val="Normal"/>
        <w:jc w:val="both"/>
        <w:rPr>
          <w:sz w:val="22"/>
        </w:rPr>
      </w:pPr>
      <w:r>
        <w:rPr>
          <w:sz w:val="22"/>
        </w:rPr>
      </w:r>
    </w:p>
    <w:p>
      <w:pPr>
        <w:pStyle w:val="Normal"/>
        <w:jc w:val="both"/>
        <w:rPr/>
      </w:pPr>
      <w:r>
        <w:rPr>
          <w:sz w:val="22"/>
        </w:rPr>
        <w:t>While Iraq is unlikely to actually halt its oil exports, the potential to do so provides Iraq with a "deterrent force" of some significance. Iraq made modest reductions in output earlier this year when the UN sanctions committee delayed approval of funding for oil infrastructure repairs. The Iraqi regime has a great appreciation of power—whether through weapons of mass destruction or through oil. Iraq can be expected to take every opportunity to increase its production capacity as circumstances permit, perhaps with an ultimate goal of displacing Saudi Arabia as OPEC's dominant player.</w:t>
      </w:r>
      <w:r>
        <w:rPr/>
        <w:t xml:space="preserve"> </w:t>
      </w:r>
    </w:p>
    <w:p>
      <w:pPr>
        <w:pStyle w:val="Normal"/>
        <w:jc w:val="both"/>
        <w:rPr/>
      </w:pPr>
      <w:r>
        <w:rPr/>
      </w:r>
    </w:p>
    <w:p>
      <w:pPr>
        <w:pStyle w:val="BodyText3"/>
        <w:rPr>
          <w:rFonts w:ascii="Times New Roman" w:hAnsi="Times New Roman" w:cs="Times New Roman"/>
          <w:sz w:val="24"/>
        </w:rPr>
      </w:pPr>
      <w:r>
        <w:rPr>
          <w:rFonts w:cs="Times New Roman" w:ascii="Times New Roman" w:hAnsi="Times New Roman"/>
          <w:sz w:val="24"/>
        </w:rPr>
      </w:r>
    </w:p>
    <w:sectPr>
      <w:footerReference w:type="default" r:id="rId4"/>
      <w:type w:val="nextPage"/>
      <w:pgSz w:w="12240" w:h="15840"/>
      <w:pgMar w:left="720" w:right="720" w:gutter="0" w:header="0" w:top="360"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Eurostile">
    <w:altName w:val="News Gothic MT"/>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spacing w:lineRule="exact" w:line="240"/>
      <w:rPr/>
    </w:pPr>
    <w:r>
      <w:rPr/>
    </w:r>
  </w:p>
  <w:p>
    <w:pPr>
      <w:pStyle w:val="Normal"/>
      <w:ind w:end="-72"/>
      <w:jc w:val="center"/>
      <w:rPr/>
    </w:pPr>
    <w:r>
      <w:rPr>
        <w:rFonts w:cs="Eurostile;News Gothic MT" w:ascii="Eurostile;News Gothic MT" w:hAnsi="Eurostile;News Gothic MT"/>
        <w:b/>
        <w:sz w:val="20"/>
      </w:rPr>
      <w:t xml:space="preserve">Office of the Director of Studies </w:t>
    </w:r>
    <w:r>
      <w:rPr>
        <w:rFonts w:eastAsia="Symbol" w:cs="Symbol" w:ascii="Symbol" w:hAnsi="Symbol"/>
        <w:b/>
        <w:sz w:val="20"/>
      </w:rPr>
      <w:sym w:font="Symbol" w:char="f0b7"/>
    </w:r>
    <w:r>
      <w:rPr>
        <w:rFonts w:cs="Eurostile;News Gothic MT" w:ascii="Eurostile;News Gothic MT" w:hAnsi="Eurostile;News Gothic MT"/>
        <w:b/>
        <w:sz w:val="20"/>
      </w:rPr>
      <w:t xml:space="preserve"> Center for Strategic and International Studies</w:t>
    </w:r>
  </w:p>
  <w:p>
    <w:pPr>
      <w:pStyle w:val="Normal"/>
      <w:ind w:end="-72"/>
      <w:jc w:val="center"/>
      <w:rPr/>
    </w:pPr>
    <w:r>
      <w:rPr>
        <w:rFonts w:cs="Eurostile;News Gothic MT" w:ascii="Eurostile;News Gothic MT" w:hAnsi="Eurostile;News Gothic MT"/>
        <w:b/>
        <w:sz w:val="20"/>
      </w:rPr>
      <w:t xml:space="preserve">1800 K Street, NW </w:t>
    </w:r>
    <w:r>
      <w:rPr>
        <w:rFonts w:eastAsia="Symbol" w:cs="Symbol" w:ascii="Symbol" w:hAnsi="Symbol"/>
        <w:b/>
        <w:sz w:val="20"/>
      </w:rPr>
      <w:sym w:font="Symbol" w:char="f0b7"/>
    </w:r>
    <w:r>
      <w:rPr>
        <w:rFonts w:cs="Eurostile;News Gothic MT" w:ascii="Eurostile;News Gothic MT" w:hAnsi="Eurostile;News Gothic MT"/>
        <w:b/>
        <w:sz w:val="20"/>
      </w:rPr>
      <w:t xml:space="preserve"> Washington, DC 20006 </w:t>
    </w:r>
    <w:r>
      <w:rPr>
        <w:rFonts w:eastAsia="Symbol" w:cs="Symbol" w:ascii="Symbol" w:hAnsi="Symbol"/>
        <w:b/>
        <w:sz w:val="20"/>
      </w:rPr>
      <w:sym w:font="Symbol" w:char="f0b7"/>
    </w:r>
    <w:r>
      <w:rPr>
        <w:rFonts w:cs="Eurostile;News Gothic MT" w:ascii="Eurostile;News Gothic MT" w:hAnsi="Eurostile;News Gothic MT"/>
        <w:b/>
        <w:sz w:val="20"/>
      </w:rPr>
      <w:t xml:space="preserve"> Tel: (202) 775-3258 </w:t>
    </w:r>
    <w:r>
      <w:rPr>
        <w:rFonts w:eastAsia="Symbol" w:cs="Symbol" w:ascii="Symbol" w:hAnsi="Symbol"/>
        <w:b/>
        <w:sz w:val="20"/>
      </w:rPr>
      <w:sym w:font="Symbol" w:char="f0b7"/>
    </w:r>
    <w:r>
      <w:rPr>
        <w:rFonts w:cs="Eurostile;News Gothic MT" w:ascii="Eurostile;News Gothic MT" w:hAnsi="Eurostile;News Gothic MT"/>
        <w:b/>
        <w:sz w:val="20"/>
      </w:rPr>
      <w:t xml:space="preserve"> Fax: (202) 775-3199 </w:t>
    </w:r>
    <w:r>
      <w:rPr>
        <w:rFonts w:eastAsia="Symbol" w:cs="Symbol" w:ascii="Symbol" w:hAnsi="Symbol"/>
        <w:b/>
        <w:sz w:val="20"/>
      </w:rPr>
      <w:sym w:font="Symbol" w:char="f0b7"/>
    </w:r>
    <w:r>
      <w:rPr>
        <w:rFonts w:cs="Eurostile;News Gothic MT" w:ascii="Eurostile;News Gothic MT" w:hAnsi="Eurostile;News Gothic MT"/>
        <w:b/>
        <w:sz w:val="20"/>
      </w:rPr>
      <w:t xml:space="preserve"> http://www.csis.org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firstLine="1440" w:start="0" w:end="0"/>
      <w:outlineLvl w:val="1"/>
    </w:pPr>
    <w:rPr>
      <w:i/>
    </w:rPr>
  </w:style>
  <w:style w:type="paragraph" w:styleId="Heading3">
    <w:name w:val="heading 3"/>
    <w:basedOn w:val="Normal"/>
    <w:next w:val="Normal"/>
    <w:qFormat/>
    <w:pPr>
      <w:keepNext w:val="true"/>
      <w:numPr>
        <w:ilvl w:val="2"/>
        <w:numId w:val="1"/>
      </w:numPr>
      <w:ind w:firstLine="720" w:start="0" w:end="0"/>
      <w:outlineLvl w:val="2"/>
    </w:pPr>
    <w:rPr>
      <w:i/>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outlineLvl w:val="4"/>
    </w:pPr>
    <w:rPr>
      <w:b/>
      <w:sz w:val="22"/>
    </w:rPr>
  </w:style>
  <w:style w:type="paragraph" w:styleId="Heading6">
    <w:name w:val="heading 6"/>
    <w:basedOn w:val="Normal"/>
    <w:next w:val="Normal"/>
    <w:qFormat/>
    <w:pPr>
      <w:keepNext w:val="true"/>
      <w:numPr>
        <w:ilvl w:val="5"/>
        <w:numId w:val="1"/>
      </w:numPr>
      <w:tabs>
        <w:tab w:val="clear" w:pos="720"/>
        <w:tab w:val="left" w:pos="288" w:leader="none"/>
        <w:tab w:val="left" w:pos="360" w:leader="none"/>
        <w:tab w:val="left" w:pos="432" w:leader="none"/>
      </w:tabs>
      <w:ind w:firstLine="720" w:start="0" w:end="0"/>
      <w:outlineLvl w:val="5"/>
    </w:pPr>
    <w:rPr>
      <w:i/>
      <w:sz w:val="22"/>
    </w:rPr>
  </w:style>
  <w:style w:type="paragraph" w:styleId="Heading7">
    <w:name w:val="heading 7"/>
    <w:basedOn w:val="Normal"/>
    <w:next w:val="Normal"/>
    <w:qFormat/>
    <w:pPr>
      <w:keepNext w:val="true"/>
      <w:numPr>
        <w:ilvl w:val="6"/>
        <w:numId w:val="1"/>
      </w:numPr>
      <w:jc w:val="both"/>
      <w:outlineLvl w:val="6"/>
    </w:pPr>
    <w:rPr>
      <w:rFonts w:ascii="Arial" w:hAnsi="Arial" w:cs="Arial"/>
      <w:b/>
      <w:sz w:val="28"/>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uppressAutoHyphens w:val="true"/>
      <w:spacing w:lineRule="auto" w:line="360"/>
    </w:pPr>
    <w:rPr>
      <w:rFonts w:ascii="Courier New" w:hAnsi="Courier New" w:cs="Courier Ne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6480" w:end="0"/>
      <w:jc w:val="end"/>
    </w:pPr>
    <w:rPr>
      <w:rFonts w:ascii="Eurostile;News Gothic MT" w:hAnsi="Eurostile;News Gothic MT" w:cs="Eurostile;News Gothic MT"/>
      <w:b/>
      <w:i/>
      <w:smallCaps/>
      <w:sz w:val="9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Return">
    <w:name w:val="envelope return"/>
    <w:basedOn w:val="Normal"/>
    <w:pPr>
      <w:widowControl/>
    </w:pPr>
    <w:rPr>
      <w:sz w:val="20"/>
      <w:lang w:eastAsia="en-CA"/>
    </w:rPr>
  </w:style>
  <w:style w:type="paragraph" w:styleId="BodyText2">
    <w:name w:val="Body Text 2"/>
    <w:basedOn w:val="Normal"/>
    <w:qFormat/>
    <w:pPr>
      <w:jc w:val="both"/>
    </w:pPr>
    <w:rPr>
      <w:sz w:val="20"/>
    </w:rPr>
  </w:style>
  <w:style w:type="paragraph" w:styleId="Bodytext1">
    <w:name w:val="Body text1"/>
    <w:basedOn w:val="Heading1"/>
    <w:qFormat/>
    <w:pPr>
      <w:widowControl/>
      <w:numPr>
        <w:ilvl w:val="0"/>
        <w:numId w:val="0"/>
      </w:numPr>
      <w:spacing w:lineRule="auto" w:line="480" w:before="0" w:after="0"/>
      <w:outlineLvl w:val="9"/>
    </w:pPr>
    <w:rPr>
      <w:rFonts w:ascii="Courier" w:hAnsi="Courier" w:cs="Courier"/>
      <w:sz w:val="24"/>
      <w:lang w:eastAsia="en-CA"/>
    </w:rPr>
  </w:style>
  <w:style w:type="paragraph" w:styleId="Level1">
    <w:name w:val="Level 1"/>
    <w:basedOn w:val="Normal"/>
    <w:qFormat/>
    <w:pPr>
      <w:numPr>
        <w:ilvl w:val="0"/>
        <w:numId w:val="2"/>
      </w:numPr>
      <w:ind w:hanging="720" w:start="720" w:end="0"/>
      <w:outlineLvl w:val="0"/>
    </w:pPr>
    <w:rPr/>
  </w:style>
  <w:style w:type="paragraph" w:styleId="BodyText3">
    <w:name w:val="Body Text 3"/>
    <w:basedOn w:val="Normal"/>
    <w:qFormat/>
    <w:pPr>
      <w:jc w:val="both"/>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Watch</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2000-10-06T16:35:00Z</dcterms:created>
  <dc:creator>CSIS user</dc:creator>
  <dc:description/>
  <dc:language>en-CA</dc:language>
  <cp:lastModifiedBy>CSIS user</cp:lastModifiedBy>
  <cp:lastPrinted>2000-10-06T14:26:00Z</cp:lastPrinted>
  <dcterms:modified xsi:type="dcterms:W3CDTF">2000-10-06T17:40:00Z</dcterms:modified>
  <cp:revision>4</cp:revision>
  <dc:subject/>
  <dc:title> </dc:title>
</cp:coreProperties>
</file>