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rPr>
          <w:caps w:val="false"/>
          <w:smallCaps w:val="false"/>
        </w:rPr>
      </w:pPr>
      <w:r>
        <w:rPr>
          <w:caps w:val="false"/>
          <w:smallCaps w:val="false"/>
        </w:rPr>
        <w:t>OPTION AGREEMENT</w:t>
      </w:r>
    </w:p>
    <w:p>
      <w:pPr>
        <w:pStyle w:val="BodyText"/>
        <w:rPr>
          <w:smallCaps/>
        </w:rPr>
      </w:pPr>
      <w:r>
        <w:rPr>
          <w:smallCaps/>
        </w:rPr>
      </w:r>
    </w:p>
    <w:p>
      <w:pPr>
        <w:pStyle w:val="BodyText"/>
        <w:jc w:val="both"/>
        <w:rPr/>
      </w:pPr>
      <w:r>
        <w:rPr/>
        <w:t>This OPTION AGREEMENT (“</w:t>
      </w:r>
      <w:r>
        <w:rPr>
          <w:u w:val="single"/>
        </w:rPr>
        <w:t>Option Agreement</w:t>
      </w:r>
      <w:r>
        <w:rPr/>
        <w:t>”) is made this _____ day of ___________, 2001 (the “</w:t>
      </w:r>
      <w:r>
        <w:rPr>
          <w:u w:val="single"/>
        </w:rPr>
        <w:t>Effective Date</w:t>
      </w:r>
      <w:r>
        <w:rPr/>
        <w:t>”), by and between COWLITZ SEWER OPERATING BOARD, a _______________ (“</w:t>
      </w:r>
      <w:r>
        <w:rPr>
          <w:u w:val="single"/>
        </w:rPr>
        <w:t>CSOB</w:t>
      </w:r>
      <w:r>
        <w:rPr/>
        <w:t>”) and LONGVIEW ENERGY DEVELOPMENT, L.L.C., a Delaware limited liability company, or its designee (“</w:t>
      </w:r>
      <w:r>
        <w:rPr>
          <w:u w:val="single"/>
        </w:rPr>
        <w:t>LED</w:t>
      </w:r>
      <w:r>
        <w:rPr/>
        <w:t xml:space="preserve">”).  </w:t>
      </w:r>
    </w:p>
    <w:p>
      <w:pPr>
        <w:pStyle w:val="TitleCenter"/>
        <w:rPr/>
      </w:pPr>
      <w:r>
        <w:rPr/>
        <w:t>Recitals</w:t>
      </w:r>
    </w:p>
    <w:p>
      <w:pPr>
        <w:pStyle w:val="BodyText"/>
        <w:ind w:firstLine="720" w:end="0"/>
        <w:jc w:val="both"/>
        <w:rPr/>
      </w:pPr>
      <w:r>
        <w:rPr/>
        <w:t>A.</w:t>
        <w:tab/>
        <w:t>LED plans to build, own and operate a natural gas-fired electric generation facility located at the Port of Longview in Cowlitz County, Washington (the “</w:t>
      </w:r>
      <w:r>
        <w:rPr>
          <w:u w:val="single"/>
        </w:rPr>
        <w:t>Project</w:t>
      </w:r>
      <w:r>
        <w:rPr/>
        <w:t xml:space="preserve">”).  </w:t>
      </w:r>
    </w:p>
    <w:p>
      <w:pPr>
        <w:pStyle w:val="BodyText"/>
        <w:ind w:firstLine="810" w:end="0"/>
        <w:jc w:val="both"/>
        <w:rPr/>
      </w:pPr>
      <w:r>
        <w:rPr/>
        <w:t>B.</w:t>
        <w:tab/>
        <w:t>LED desires to obtain, and CSOB is willing to grant, an option to enter into an agreement under which (1) LED would have the right to discharge wastewater from the Project to the Cowlitz Water Pollution Control sewage treatment plant, located at 467 Fibre Way, Longview, Washington (the “</w:t>
      </w:r>
      <w:r>
        <w:rPr>
          <w:u w:val="single"/>
        </w:rPr>
        <w:t>CWPC Plant</w:t>
      </w:r>
      <w:r>
        <w:rPr/>
        <w:t>”), outfall on the Columbia River (discharge location at Latitude 40º 5’ 52” N, Longitude 122º 5’ 52” W)</w:t>
      </w:r>
      <w:r>
        <w:rPr>
          <w:b/>
          <w:bCs/>
        </w:rPr>
        <w:t xml:space="preserve">, </w:t>
      </w:r>
      <w:r>
        <w:rPr/>
        <w:t xml:space="preserve">and (2) LED would have the right to obtain treated effluent from the CWCP Plant for ultimate use as cooling water for the Project, as more fully described below.  </w:t>
      </w:r>
    </w:p>
    <w:p>
      <w:pPr>
        <w:pStyle w:val="TitleCenter"/>
        <w:rPr/>
      </w:pPr>
      <w:r>
        <w:rPr/>
        <w:t>Agreement</w:t>
      </w:r>
    </w:p>
    <w:p>
      <w:pPr>
        <w:pStyle w:val="BodyText"/>
        <w:jc w:val="both"/>
        <w:rPr/>
      </w:pPr>
      <w:r>
        <w:rPr/>
        <w:t>NOW, THEREFORE, in consideration of the mutual covenants herein contained, and other good and valuable consideration, the receipt and adequacy of which are hereby acknowledged, the parties hereto agree as follows:</w:t>
      </w:r>
    </w:p>
    <w:p>
      <w:pPr>
        <w:pStyle w:val="Heading1"/>
        <w:tabs>
          <w:tab w:val="clear" w:pos="720"/>
        </w:tabs>
        <w:ind w:firstLine="720" w:start="0" w:end="0"/>
        <w:jc w:val="both"/>
        <w:rPr/>
      </w:pPr>
      <w:r>
        <w:rPr>
          <w:u w:val="single"/>
        </w:rPr>
        <w:t>Grant of Option</w:t>
      </w:r>
      <w:r>
        <w:rPr/>
        <w:t>.  CSOB hereby grants to LED the right and option (the “</w:t>
      </w:r>
      <w:r>
        <w:rPr>
          <w:u w:val="single"/>
        </w:rPr>
        <w:t>Option</w:t>
      </w:r>
      <w:r>
        <w:rPr/>
        <w:t>”) to enter into an agreement (the “</w:t>
      </w:r>
      <w:r>
        <w:rPr>
          <w:u w:val="single"/>
        </w:rPr>
        <w:t>Wastewater Discharge Agreement</w:t>
      </w:r>
      <w:r>
        <w:rPr/>
        <w:t>”) which, if LED exercises the Option, shall be executed by CSOB and shall provide, among other things, for the following:</w:t>
      </w:r>
    </w:p>
    <w:p>
      <w:pPr>
        <w:pStyle w:val="Heading2"/>
        <w:tabs>
          <w:tab w:val="clear" w:pos="720"/>
        </w:tabs>
        <w:ind w:hanging="0" w:start="720" w:end="0"/>
        <w:rPr/>
      </w:pPr>
      <w:r>
        <w:rPr>
          <w:u w:val="single"/>
        </w:rPr>
        <w:t>Wastewater and Stormwater Discharge</w:t>
      </w:r>
      <w:r>
        <w:rPr/>
        <w:t>.</w:t>
      </w:r>
    </w:p>
    <w:p>
      <w:pPr>
        <w:pStyle w:val="Heading3"/>
        <w:numPr>
          <w:ilvl w:val="0"/>
          <w:numId w:val="0"/>
        </w:numPr>
        <w:ind w:hanging="720" w:start="2160" w:end="0"/>
        <w:jc w:val="both"/>
        <w:rPr/>
      </w:pPr>
      <w:r>
        <w:rPr/>
        <w:t>(i)</w:t>
        <w:tab/>
        <w:t>LED shall have the right to discharge all wastewater from the Project, except sanitary waste streams, to the CWPC Plant’s outfall on the Columbia River (A) prior to commencement of the Term (defined below), during testing and start-up of the Project and (B) thereafter for a period of thirty (30) years (the “</w:t>
      </w:r>
      <w:r>
        <w:rPr>
          <w:u w:val="single"/>
        </w:rPr>
        <w:t>Term</w:t>
      </w:r>
      <w:r>
        <w:rPr/>
        <w:t xml:space="preserve">”) commencing on the date that construction of the Project is completed and the Project is capable of commercial operations, provided that the Term shall not commence before _________ 200_ or later than _______, 200_.  </w:t>
      </w:r>
    </w:p>
    <w:p>
      <w:pPr>
        <w:pStyle w:val="BodyText"/>
        <w:ind w:hanging="720" w:start="2160" w:end="0"/>
        <w:jc w:val="both"/>
        <w:rPr/>
      </w:pPr>
      <w:r>
        <w:rPr/>
        <w:t>(ii)</w:t>
        <w:tab/>
        <w:t>LED shall pay to CSOB $___________ per 1000 gallons for all Project wastewater discharged to the CWPC Plant outfall.</w:t>
      </w:r>
    </w:p>
    <w:p>
      <w:pPr>
        <w:pStyle w:val="BodyText"/>
        <w:ind w:hanging="720" w:start="2160" w:end="0"/>
        <w:jc w:val="both"/>
        <w:rPr/>
      </w:pPr>
      <w:r>
        <w:rPr/>
        <w:t>(iii)</w:t>
        <w:tab/>
        <w:t>LED will be responsible for procuring and maintaining, at its cost, the NPDES waste discharge permit or equivalent permit required by the Washington Department of Ecology (“</w:t>
      </w:r>
      <w:r>
        <w:rPr>
          <w:u w:val="single"/>
        </w:rPr>
        <w:t>Project Discharge Permit</w:t>
      </w:r>
      <w:r>
        <w:rPr/>
        <w:t>”) which will allow the Project to discharge its wastewater without affecting the total quantities CSOB is allowed to discharge under CWPC Plant’s discharge permit (“</w:t>
      </w:r>
      <w:r>
        <w:rPr>
          <w:u w:val="single"/>
        </w:rPr>
        <w:t>CWPC Plant Discharge Permit</w:t>
      </w:r>
      <w:r>
        <w:rPr/>
        <w:t xml:space="preserve">”).  However, in the event that discharge from the Project is attributed to the quantities allowed under CSOB’s permit, then LED will pay to CSOB $______ per 1000 gallons for all Project discharge attributed to the CWPC Plant Discharge Permit, in addition to the amount described in </w:t>
      </w:r>
      <w:r>
        <w:rPr>
          <w:u w:val="single"/>
        </w:rPr>
        <w:t>Section 1(a)(ii)</w:t>
      </w:r>
      <w:r>
        <w:rPr/>
        <w:t xml:space="preserve"> above.</w:t>
      </w:r>
    </w:p>
    <w:p>
      <w:pPr>
        <w:pStyle w:val="BodyText"/>
        <w:ind w:hanging="720" w:start="2160" w:end="0"/>
        <w:jc w:val="both"/>
        <w:rPr/>
      </w:pPr>
      <w:r>
        <w:rPr/>
        <w:t>(iv)</w:t>
        <w:tab/>
        <w:t>LED will test and monitor its discharge at a point in its discharge pipeline that is upstream of the point of interconnection with the CWPC Plant’s discharge pipeline to ensure compliance with the Project Discharge Permit.</w:t>
      </w:r>
    </w:p>
    <w:p>
      <w:pPr>
        <w:pStyle w:val="BodyText"/>
        <w:ind w:hanging="720" w:start="2160" w:end="0"/>
        <w:jc w:val="both"/>
        <w:rPr/>
      </w:pPr>
      <w:r>
        <w:rPr/>
        <w:t>(v)</w:t>
        <w:tab/>
        <w:t>LED will be responsible for the cost of any modifications at the diffuser located at the point of discharge into the Columbia River as</w:t>
      </w:r>
      <w:r>
        <w:rPr>
          <w:b/>
          <w:bCs/>
        </w:rPr>
        <w:t xml:space="preserve"> </w:t>
      </w:r>
      <w:r>
        <w:rPr/>
        <w:t>may be necessary to ensure that all temperature, flow and other requirements of either the LED Discharge Permit or the CWPC Plant Discharge Permit are not violated as a result of the Project’s discharge.</w:t>
      </w:r>
    </w:p>
    <w:p>
      <w:pPr>
        <w:pStyle w:val="BodyText"/>
        <w:ind w:hanging="720" w:start="2160" w:end="0"/>
        <w:jc w:val="both"/>
        <w:rPr/>
      </w:pPr>
      <w:r>
        <w:rPr/>
        <w:t>(vi)</w:t>
        <w:tab/>
        <w:t>LED will be responsible for the costs of engineering, procurement and construction of equipment or facilities necessary to be installed to ensure that the hydraulic capacity of the CWPC Plant’s discharge facilities is not adversely affected by the Project’s discharge.</w:t>
      </w:r>
    </w:p>
    <w:p>
      <w:pPr>
        <w:pStyle w:val="BodyText"/>
        <w:ind w:hanging="720" w:start="2160" w:end="0"/>
        <w:jc w:val="both"/>
        <w:rPr/>
      </w:pPr>
      <w:r>
        <w:rPr/>
        <w:t>(vii)</w:t>
        <w:tab/>
        <w:t>LED will be responsible for the construction and installation of its discharge pipeline and the interconnection facilities necessary to interconnect with the CWPC Plant’s discharge pipeline.</w:t>
      </w:r>
    </w:p>
    <w:p>
      <w:pPr>
        <w:pStyle w:val="BodyText"/>
        <w:ind w:hanging="720" w:start="2160" w:end="0"/>
        <w:jc w:val="both"/>
        <w:rPr/>
      </w:pPr>
      <w:r>
        <w:rPr/>
        <w:t>(viii)</w:t>
        <w:tab/>
        <w:t xml:space="preserve">CWPC will have the right to approve the plans and specifications for the construction and modifications by LED contemplated in </w:t>
      </w:r>
      <w:r>
        <w:rPr>
          <w:u w:val="single"/>
        </w:rPr>
        <w:t>paragraphs (v)</w:t>
      </w:r>
      <w:r>
        <w:rPr/>
        <w:t>,</w:t>
      </w:r>
      <w:r>
        <w:rPr>
          <w:u w:val="single"/>
        </w:rPr>
        <w:t xml:space="preserve"> (vi)</w:t>
      </w:r>
      <w:r>
        <w:rPr/>
        <w:t xml:space="preserve"> and </w:t>
      </w:r>
      <w:r>
        <w:rPr>
          <w:u w:val="single"/>
        </w:rPr>
        <w:t>(vii)</w:t>
      </w:r>
      <w:r>
        <w:rPr/>
        <w:t xml:space="preserve"> of this </w:t>
      </w:r>
      <w:r>
        <w:rPr>
          <w:u w:val="single"/>
        </w:rPr>
        <w:t>Section 1</w:t>
      </w:r>
      <w:r>
        <w:rPr/>
        <w:t>, provided that such approval shall not be unreasonably withheld or delayed.  The parties will specify in the Wastewater Discharge Agreement a schedule for submission and review of such plans and specifications that will allow LED to complete all construction no later than May 1, 2003.</w:t>
      </w:r>
    </w:p>
    <w:p>
      <w:pPr>
        <w:pStyle w:val="BodyText"/>
        <w:ind w:hanging="720" w:start="2160" w:end="0"/>
        <w:jc w:val="both"/>
        <w:rPr/>
      </w:pPr>
      <w:r>
        <w:rPr/>
        <w:t>(ix)</w:t>
        <w:tab/>
        <w:t>At any time during the Term, if Project stormwater discharge cannot be absorbed in Project bioswales, then LED will be permitted to discharge excess stormwater to the CWPC Plant’s Columbia River outfall, for no additional charge, so long as such additional stormwater discharge does not violate the Project Discharge Permit or the CWPC Plant Discharge Permit and the hydraulic capacity of the CWPC Plant’s discharge facilities is not adversely affect by this stormwater discharge.</w:t>
      </w:r>
    </w:p>
    <w:p>
      <w:pPr>
        <w:pStyle w:val="Heading2"/>
        <w:tabs>
          <w:tab w:val="clear" w:pos="720"/>
        </w:tabs>
        <w:ind w:hanging="0" w:start="720" w:end="0"/>
        <w:jc w:val="both"/>
        <w:rPr/>
      </w:pPr>
      <w:r>
        <w:rPr>
          <w:u w:val="single"/>
        </w:rPr>
        <w:t>Effluent Supply</w:t>
      </w:r>
      <w:r>
        <w:rPr/>
        <w:t>.  At LED’s sole election, the Wastewater Discharge Agreement will also provide that CSOB will also supply treated effluent water from the CWPC Plant in quantities not to exceed ______________, at a price of $_______________ per ______________.  If LED elects to include this effluent supply agreement in the Wastewater Discharge Agreement, then the Wastewater Discharge Agreement will also provide for the following:</w:t>
      </w:r>
    </w:p>
    <w:p>
      <w:pPr>
        <w:pStyle w:val="Heading2"/>
        <w:numPr>
          <w:ilvl w:val="0"/>
          <w:numId w:val="0"/>
        </w:numPr>
        <w:ind w:hanging="720" w:start="2160" w:end="0"/>
        <w:jc w:val="both"/>
        <w:rPr/>
      </w:pPr>
      <w:r>
        <w:rPr/>
        <w:t>(i)</w:t>
        <w:tab/>
        <w:t>LED will be responsible for obtaining, at its cost, all necessary permits and approvals, and for construction of any necessary pipeline, interconnection facilities and meters.</w:t>
      </w:r>
    </w:p>
    <w:p>
      <w:pPr>
        <w:pStyle w:val="BodyText"/>
        <w:ind w:hanging="720" w:start="2160" w:end="0"/>
        <w:rPr/>
      </w:pPr>
      <w:r>
        <w:rPr/>
        <w:t>(ii)</w:t>
        <w:tab/>
        <w:t>CSOB will use commercially reasonable efforts to assist LED to procure back-up supplies of water for Project cooling water, to be available at any time that CSOB does not supply the contract quantity of treated effluent water.</w:t>
      </w:r>
    </w:p>
    <w:p>
      <w:pPr>
        <w:pStyle w:val="Heading2"/>
        <w:numPr>
          <w:ilvl w:val="0"/>
          <w:numId w:val="0"/>
        </w:numPr>
        <w:ind w:hanging="0" w:start="720" w:end="0"/>
        <w:rPr/>
      </w:pPr>
      <w:r>
        <w:rPr/>
        <w:t>LED will notify CSOB no later than July 1, 2001 of whether LED has elected to include this effluent supply agreement in the Wastewater Discharge Agreement.  Notice of LED’s election shall not constitute exercise of the Option.</w:t>
      </w:r>
    </w:p>
    <w:p>
      <w:pPr>
        <w:pStyle w:val="Heading1"/>
        <w:tabs>
          <w:tab w:val="clear" w:pos="720"/>
        </w:tabs>
        <w:ind w:firstLine="720" w:start="0" w:end="0"/>
        <w:jc w:val="both"/>
        <w:rPr/>
      </w:pPr>
      <w:r>
        <w:rPr>
          <w:u w:val="single"/>
        </w:rPr>
        <w:t>Form of Wastewater Discharge Agreement</w:t>
      </w:r>
      <w:r>
        <w:rPr/>
        <w:t>.  The parties shall use commercially reasonable efforts to negotiate the form of the Wastewater Discharge Agreement within thirty (30) days of the Effective Date of this Option Agreement, whereupon the parties will execute an amendment to this Option Agreement to attach the form of the Wastewater Discharge Agreement to this Option Agreement as an exhibit hereto.</w:t>
      </w:r>
    </w:p>
    <w:p>
      <w:pPr>
        <w:pStyle w:val="Heading1"/>
        <w:tabs>
          <w:tab w:val="clear" w:pos="720"/>
        </w:tabs>
        <w:ind w:firstLine="720" w:start="0" w:end="0"/>
        <w:jc w:val="both"/>
        <w:rPr/>
      </w:pPr>
      <w:r>
        <w:rPr>
          <w:u w:val="single"/>
        </w:rPr>
        <w:t>Term of Option</w:t>
      </w:r>
      <w:r>
        <w:rPr/>
        <w:t xml:space="preserve">.  The term of the Option shall commence as of the Effective Date and shall expire at 5:00 o’clock p.m. Pacific Time on </w:t>
      </w:r>
      <w:r>
        <w:rPr>
          <w:bCs/>
        </w:rPr>
        <w:t>[_______________, 2001]</w:t>
      </w:r>
      <w:r>
        <w:rPr/>
        <w:t xml:space="preserve"> (the “</w:t>
      </w:r>
      <w:r>
        <w:rPr>
          <w:u w:val="single"/>
        </w:rPr>
        <w:t>Option Period</w:t>
      </w:r>
      <w:r>
        <w:rPr/>
        <w:t>”).</w:t>
      </w:r>
    </w:p>
    <w:p>
      <w:pPr>
        <w:pStyle w:val="Heading1"/>
        <w:tabs>
          <w:tab w:val="clear" w:pos="720"/>
        </w:tabs>
        <w:ind w:firstLine="720" w:start="0" w:end="0"/>
        <w:jc w:val="both"/>
        <w:rPr/>
      </w:pPr>
      <w:r>
        <w:rPr>
          <w:u w:val="single"/>
        </w:rPr>
        <w:t>Consideration for the Option</w:t>
      </w:r>
      <w:r>
        <w:rPr/>
        <w:t>.  CSOB acknowledges receipt of the sum of $30,000.00 (the “</w:t>
      </w:r>
      <w:r>
        <w:rPr>
          <w:u w:val="single"/>
        </w:rPr>
        <w:t>Option Consideration</w:t>
      </w:r>
      <w:r>
        <w:rPr/>
        <w:t>”) as non-refundable consideration for entering into this Option Agreement.</w:t>
      </w:r>
    </w:p>
    <w:p>
      <w:pPr>
        <w:pStyle w:val="Heading1"/>
        <w:tabs>
          <w:tab w:val="clear" w:pos="720"/>
        </w:tabs>
        <w:ind w:firstLine="720" w:start="0" w:end="0"/>
        <w:jc w:val="both"/>
        <w:rPr/>
      </w:pPr>
      <w:r>
        <w:rPr>
          <w:u w:val="single"/>
        </w:rPr>
        <w:t>Exercise of Option</w:t>
      </w:r>
      <w:r>
        <w:rPr/>
        <w:t xml:space="preserve">.  The parties acknowledge that their execution of this Option Agreement does not constitute the exercise the Option granted hereunder.  LED may exercise the Option at any time before expiration of the Option Period by delivering a signed copy of the Wastewater Discharge Agreement to CSOB.  If LED does not exercise the Option during the Option Period then the Option shall unconditionally terminate. </w:t>
      </w:r>
    </w:p>
    <w:p>
      <w:pPr>
        <w:pStyle w:val="Heading1"/>
        <w:tabs>
          <w:tab w:val="clear" w:pos="720"/>
        </w:tabs>
        <w:ind w:firstLine="720" w:start="0" w:end="0"/>
        <w:jc w:val="both"/>
        <w:rPr/>
      </w:pPr>
      <w:r>
        <w:rPr>
          <w:u w:val="single"/>
        </w:rPr>
        <w:t>Time of Essence</w:t>
      </w:r>
      <w:r>
        <w:rPr/>
        <w:t xml:space="preserve">.  Time is of the essence in this Option Agreement and every provision hereof of which time is an element.  </w:t>
      </w:r>
      <w:r>
        <w:br w:type="page"/>
      </w:r>
    </w:p>
    <w:p>
      <w:pPr>
        <w:pStyle w:val="Heading1"/>
        <w:numPr>
          <w:ilvl w:val="0"/>
          <w:numId w:val="0"/>
        </w:numPr>
        <w:ind w:hanging="0" w:start="0"/>
        <w:jc w:val="both"/>
        <w:rPr/>
      </w:pPr>
      <w:r>
        <w:rPr/>
      </w:r>
    </w:p>
    <w:p>
      <w:pPr>
        <w:pStyle w:val="Heading1"/>
        <w:tabs>
          <w:tab w:val="clear" w:pos="720"/>
        </w:tabs>
        <w:ind w:firstLine="720" w:start="0" w:end="0"/>
        <w:jc w:val="both"/>
        <w:rPr/>
      </w:pPr>
      <w:r>
        <w:rPr>
          <w:u w:val="single"/>
        </w:rPr>
        <w:t>Notices</w:t>
      </w:r>
      <w:r>
        <w:rPr/>
        <w:t xml:space="preserve">.  Notices under this Option Agreement shall be sent to:  </w:t>
      </w:r>
    </w:p>
    <w:p>
      <w:pPr>
        <w:pStyle w:val="BodyTextIndent2"/>
        <w:jc w:val="both"/>
        <w:rPr/>
      </w:pPr>
      <w:r>
        <w:rPr/>
        <w:t>If to CSOB:</w:t>
        <w:tab/>
        <w:t>Cowlitz Sewer Operating Board</w:t>
      </w:r>
    </w:p>
    <w:p>
      <w:pPr>
        <w:pStyle w:val="BodyTextIndent2"/>
        <w:jc w:val="both"/>
        <w:rPr/>
      </w:pPr>
      <w:r>
        <w:rPr/>
        <w:tab/>
        <w:t>Attention:</w:t>
      </w:r>
      <w:r>
        <w:rPr>
          <w:u w:val="single"/>
        </w:rPr>
        <w:tab/>
        <w:tab/>
        <w:tab/>
        <w:tab/>
      </w:r>
    </w:p>
    <w:p>
      <w:pPr>
        <w:pStyle w:val="BodyTextIndent2"/>
        <w:ind w:hanging="0" w:end="0"/>
        <w:jc w:val="both"/>
        <w:rPr>
          <w:u w:val="single"/>
        </w:rPr>
      </w:pPr>
      <w:r>
        <w:rPr>
          <w:u w:val="single"/>
        </w:rPr>
        <w:tab/>
        <w:tab/>
        <w:tab/>
        <w:tab/>
        <w:tab/>
      </w:r>
    </w:p>
    <w:p>
      <w:pPr>
        <w:pStyle w:val="BodyTextIndent2"/>
        <w:ind w:hanging="0" w:end="0"/>
        <w:jc w:val="both"/>
        <w:rPr>
          <w:u w:val="single"/>
        </w:rPr>
      </w:pPr>
      <w:r>
        <w:rPr>
          <w:u w:val="single"/>
        </w:rPr>
        <w:tab/>
        <w:tab/>
        <w:tab/>
        <w:tab/>
        <w:tab/>
      </w:r>
    </w:p>
    <w:p>
      <w:pPr>
        <w:pStyle w:val="BodyTextIndent2"/>
        <w:ind w:hanging="0" w:end="0"/>
        <w:jc w:val="both"/>
        <w:rPr/>
      </w:pPr>
      <w:r>
        <w:rPr/>
        <w:t xml:space="preserve">Telephone: </w:t>
        <w:tab/>
        <w:t>(___) ___-____</w:t>
      </w:r>
    </w:p>
    <w:p>
      <w:pPr>
        <w:pStyle w:val="BodyTextIndent2"/>
        <w:ind w:hanging="0" w:end="0"/>
        <w:jc w:val="both"/>
        <w:rPr/>
      </w:pPr>
      <w:r>
        <w:rPr/>
        <w:t>Facsimile:</w:t>
        <w:tab/>
        <w:t>(___) ___-____</w:t>
      </w:r>
    </w:p>
    <w:p>
      <w:pPr>
        <w:pStyle w:val="Normal"/>
        <w:ind w:firstLine="720" w:end="0"/>
        <w:jc w:val="both"/>
        <w:rPr/>
      </w:pPr>
      <w:r>
        <w:rPr/>
      </w:r>
    </w:p>
    <w:p>
      <w:pPr>
        <w:pStyle w:val="BodyTextIndent2"/>
        <w:jc w:val="both"/>
        <w:rPr/>
      </w:pPr>
      <w:r>
        <w:rPr/>
        <w:t>If to LED:</w:t>
        <w:tab/>
        <w:t>Longview Energy Development, L.L.C.</w:t>
      </w:r>
    </w:p>
    <w:p>
      <w:pPr>
        <w:pStyle w:val="BodyTextIndent2"/>
        <w:ind w:hanging="0" w:end="0"/>
        <w:jc w:val="both"/>
        <w:rPr/>
      </w:pPr>
      <w:r>
        <w:rPr/>
        <w:t>Attention:</w:t>
      </w:r>
      <w:r>
        <w:rPr>
          <w:u w:val="single"/>
        </w:rPr>
        <w:tab/>
        <w:tab/>
        <w:tab/>
        <w:tab/>
      </w:r>
    </w:p>
    <w:p>
      <w:pPr>
        <w:pStyle w:val="BodyTextIndent2"/>
        <w:ind w:hanging="0" w:end="0"/>
        <w:jc w:val="both"/>
        <w:rPr>
          <w:u w:val="single"/>
        </w:rPr>
      </w:pPr>
      <w:r>
        <w:rPr>
          <w:u w:val="single"/>
        </w:rPr>
        <w:tab/>
        <w:tab/>
        <w:tab/>
        <w:tab/>
        <w:tab/>
      </w:r>
    </w:p>
    <w:p>
      <w:pPr>
        <w:pStyle w:val="BodyTextIndent2"/>
        <w:ind w:hanging="0" w:end="0"/>
        <w:jc w:val="both"/>
        <w:rPr>
          <w:u w:val="single"/>
        </w:rPr>
      </w:pPr>
      <w:r>
        <w:rPr>
          <w:u w:val="single"/>
        </w:rPr>
        <w:tab/>
        <w:tab/>
        <w:tab/>
        <w:tab/>
        <w:tab/>
      </w:r>
    </w:p>
    <w:p>
      <w:pPr>
        <w:pStyle w:val="BodyTextIndent2"/>
        <w:ind w:hanging="0" w:end="0"/>
        <w:jc w:val="both"/>
        <w:rPr/>
      </w:pPr>
      <w:r>
        <w:rPr/>
        <w:t xml:space="preserve">Telephone: </w:t>
        <w:tab/>
        <w:t>(___) ___-____</w:t>
      </w:r>
    </w:p>
    <w:p>
      <w:pPr>
        <w:pStyle w:val="BodyTextIndent2"/>
        <w:ind w:hanging="0" w:end="0"/>
        <w:jc w:val="both"/>
        <w:rPr/>
      </w:pPr>
      <w:r>
        <w:rPr/>
        <w:t>Facsimile:</w:t>
        <w:tab/>
        <w:t>(___) ___-____</w:t>
      </w:r>
    </w:p>
    <w:p>
      <w:pPr>
        <w:pStyle w:val="Normal"/>
        <w:ind w:firstLine="720" w:end="0"/>
        <w:jc w:val="both"/>
        <w:rPr/>
      </w:pPr>
      <w:r>
        <w:rPr/>
      </w:r>
    </w:p>
    <w:p>
      <w:pPr>
        <w:pStyle w:val="BodyTextContinued"/>
        <w:jc w:val="both"/>
        <w:rPr/>
      </w:pPr>
      <w:r>
        <w:rPr/>
        <w:t xml:space="preserve">Either party may change its address by written notice to that effect to the other party.  Notices given hereunder shall be deemed to have been effectively given upon delivery, if sent by facsimile or overnight delivery, or five business days after deposit when deposited with the United States Postal Service, with postage prepaid and directed to the post office address of the parties as set out above.  </w:t>
      </w:r>
    </w:p>
    <w:p>
      <w:pPr>
        <w:pStyle w:val="Heading1"/>
        <w:tabs>
          <w:tab w:val="clear" w:pos="720"/>
        </w:tabs>
        <w:ind w:hanging="0" w:start="0"/>
        <w:jc w:val="both"/>
        <w:rPr/>
      </w:pPr>
      <w:r>
        <w:rPr>
          <w:u w:val="single"/>
        </w:rPr>
        <w:t>Attorneys’ Fees</w:t>
      </w:r>
      <w:r>
        <w:rPr/>
        <w:t>.  In the event it becomes necessary for either party to obtain the services of an attorney for the purposes of collection, interpretation, or enforcement of any of the provisions of this Option Agreement, the prevailing party shall be entitled to reimbursement of all reasonable attorney’s fees and collection costs as the arbitrator, the trial judge or the Appellate Court may judge reasonable in the arbitration, the action and the appeal, if any, along with statutory costs, disbursements, and applicable interest.</w:t>
      </w:r>
    </w:p>
    <w:p>
      <w:pPr>
        <w:pStyle w:val="Heading1"/>
        <w:tabs>
          <w:tab w:val="clear" w:pos="720"/>
        </w:tabs>
        <w:ind w:hanging="0" w:start="0"/>
        <w:jc w:val="both"/>
        <w:rPr/>
      </w:pPr>
      <w:r>
        <w:rPr>
          <w:u w:val="single"/>
        </w:rPr>
        <w:t>Governing Law; Venue</w:t>
      </w:r>
      <w:r>
        <w:rPr/>
        <w:t xml:space="preserve">.  The laws of the State of Washington shall govern this Option Agreement and the rights and the obligations of the parties hereunder.  </w:t>
      </w:r>
    </w:p>
    <w:p>
      <w:pPr>
        <w:pStyle w:val="Heading1"/>
        <w:tabs>
          <w:tab w:val="clear" w:pos="720"/>
        </w:tabs>
        <w:ind w:hanging="0" w:start="0"/>
        <w:jc w:val="both"/>
        <w:rPr/>
      </w:pPr>
      <w:r>
        <w:rPr>
          <w:u w:val="single"/>
        </w:rPr>
        <w:t>Successors and Assigns</w:t>
      </w:r>
      <w:r>
        <w:rPr/>
        <w:t>.  The parties acknowledge and agree that LED has the right to assign or transfer all of its rights in this agreement without CSOB’s consent to: (a) an entity engaged in the business of developing an energy production facility, as evidenced by such entity having developed or having under development not less than two facilities of size similar to LED’s proposed energy production facility (“</w:t>
      </w:r>
      <w:r>
        <w:rPr>
          <w:u w:val="single"/>
        </w:rPr>
        <w:t>Qualified Developer Provider</w:t>
      </w:r>
      <w:r>
        <w:rPr/>
        <w:t>”); (b) an entity that has contracted all duties for the development of the energy production facility to be performed by a Qualified Developer Provider; or (c) E-Next Generation LLC or another entity to which a controlling ownership interest in LED is transferred pursuant to a financing or accounting structure.</w:t>
      </w:r>
    </w:p>
    <w:p>
      <w:pPr>
        <w:pStyle w:val="Heading1"/>
        <w:tabs>
          <w:tab w:val="clear" w:pos="720"/>
        </w:tabs>
        <w:ind w:hanging="0" w:start="0"/>
        <w:jc w:val="both"/>
        <w:rPr>
          <w:u w:val="single"/>
        </w:rPr>
      </w:pPr>
      <w:r>
        <w:rPr>
          <w:bCs/>
          <w:u w:val="single"/>
        </w:rPr>
        <w:t>Arbitration</w:t>
      </w:r>
      <w:r>
        <w:rPr>
          <w:b/>
        </w:rPr>
        <w:t xml:space="preserve">.  </w:t>
      </w:r>
      <w:r>
        <w:rPr/>
        <w:t>Any disputes under this Option Agreement shall be subject to arbitration unless and to the extent required by law or as otherwise specifically stated herein.  When any dispute is to be arbitrated, the parties shall each choose one arbitrator and the two so chosen shall select the third, and the majority of the three so chosen shall render the decision.  If either party does not provide the name of its arbitrator to the other person in writing within fifteen (15) days after being requested to do so in writing, the requesting party shall have the right to do so in its stead.  Unless otherwise decided pursuant to Section 8 hereof, each of the parties shall pay one-half of the arbitrators’ fees.  The arbitration shall be conducted in accordance with the rules of the American Arbitration Association, or as otherwise agreed by the parties.  The arbitration proceeding shall be conducted in Seattle, Washington, unless the parties mutually agree in writing on an alternate location.</w:t>
      </w:r>
    </w:p>
    <w:p>
      <w:pPr>
        <w:pStyle w:val="Heading1"/>
        <w:tabs>
          <w:tab w:val="clear" w:pos="720"/>
        </w:tabs>
        <w:ind w:hanging="0" w:start="0"/>
        <w:jc w:val="both"/>
        <w:rPr/>
      </w:pPr>
      <w:r>
        <w:rPr>
          <w:bCs/>
          <w:u w:val="single"/>
        </w:rPr>
        <w:t>Limitation of Liability</w:t>
      </w:r>
      <w:r>
        <w:rPr>
          <w:bCs/>
        </w:rPr>
        <w:t>.</w:t>
      </w:r>
      <w:r>
        <w:rPr>
          <w:b/>
        </w:rPr>
        <w:t xml:space="preserve">  </w:t>
      </w:r>
      <w:r>
        <w:rPr/>
        <w:t>It is expressly agreed that neither party shall not be liable for punitive, consequential, or exemplary damages in any action relating to this Option Agreement, and each party hereby waives its right, if any, to recover punitive, consequential, or exemplary damages in any action relating to this Option Agreement.</w:t>
      </w:r>
    </w:p>
    <w:p>
      <w:pPr>
        <w:pStyle w:val="Heading1"/>
        <w:tabs>
          <w:tab w:val="clear" w:pos="720"/>
        </w:tabs>
        <w:ind w:hanging="0" w:start="0"/>
        <w:jc w:val="both"/>
        <w:rPr/>
      </w:pPr>
      <w:r>
        <w:rPr>
          <w:u w:val="single"/>
        </w:rPr>
        <w:t>Miscellaneous</w:t>
      </w:r>
      <w:r>
        <w:rPr/>
        <w:t xml:space="preserve">.  </w:t>
      </w:r>
    </w:p>
    <w:p>
      <w:pPr>
        <w:pStyle w:val="Heading2"/>
        <w:tabs>
          <w:tab w:val="clear" w:pos="720"/>
        </w:tabs>
        <w:ind w:hanging="0" w:start="0"/>
        <w:jc w:val="both"/>
        <w:rPr/>
      </w:pPr>
      <w:r>
        <w:rPr/>
        <w:t xml:space="preserve">This Option Agreement contains the entire agreement between the parties hereto regarding the subject matter of this Option Agreement and no addition to or modification of any terms or provisions of this Option Agreement shall be effective unless set forth in writing signed by both LED and CSOB.  </w:t>
      </w:r>
    </w:p>
    <w:p>
      <w:pPr>
        <w:pStyle w:val="Heading2"/>
        <w:tabs>
          <w:tab w:val="clear" w:pos="720"/>
        </w:tabs>
        <w:ind w:hanging="0" w:start="0"/>
        <w:jc w:val="both"/>
        <w:rPr/>
      </w:pPr>
      <w:r>
        <w:rPr/>
        <w:t xml:space="preserve">This Option Agreement may be executed simultaneously in one or more counterparts, each of which shall be deemed an original, but all of which shall constitute but one and the same instrument.  </w:t>
      </w:r>
    </w:p>
    <w:p>
      <w:pPr>
        <w:pStyle w:val="Heading2"/>
        <w:tabs>
          <w:tab w:val="clear" w:pos="720"/>
        </w:tabs>
        <w:ind w:hanging="0" w:start="0"/>
        <w:jc w:val="both"/>
        <w:rPr/>
      </w:pPr>
      <w:r>
        <w:rPr/>
        <w:t xml:space="preserve">Paragraph headings are provided herein for convenience only and shall not serve as a basis for interpretation or construction of this Option Agreement, or as evidence of the intention of the parties hereto.  </w:t>
      </w:r>
    </w:p>
    <w:p>
      <w:pPr>
        <w:pStyle w:val="Heading2"/>
        <w:tabs>
          <w:tab w:val="clear" w:pos="720"/>
        </w:tabs>
        <w:ind w:hanging="0" w:start="0"/>
        <w:jc w:val="both"/>
        <w:rPr/>
      </w:pPr>
      <w:r>
        <w:rPr/>
        <w:t xml:space="preserve">Each party covenants and agrees that it will at any time and from time to time do, execute, acknowledge, and deliver, or will cause to be done, executed, acknowledged, and delivered, all such further acts, documents, and instruments as may be reasonably required to effectuate the intent of the parties and to otherwise consummate the transactions contemplated hereby.  </w:t>
      </w:r>
    </w:p>
    <w:p>
      <w:pPr>
        <w:pStyle w:val="Heading2"/>
        <w:tabs>
          <w:tab w:val="clear" w:pos="720"/>
        </w:tabs>
        <w:ind w:hanging="0" w:start="0"/>
        <w:jc w:val="both"/>
        <w:rPr/>
      </w:pPr>
      <w:r>
        <w:rPr/>
        <w:t xml:space="preserve">If any provision hereof shall be found to be inoperative or in violation of any law or regulation, only that provision shall be deleted from this Option Agreement, and the remainder of this Option Agreement shall not be affected.  </w:t>
      </w:r>
      <w:r>
        <w:br w:type="page"/>
      </w:r>
    </w:p>
    <w:p>
      <w:pPr>
        <w:pStyle w:val="Heading2"/>
        <w:numPr>
          <w:ilvl w:val="0"/>
          <w:numId w:val="0"/>
        </w:numPr>
        <w:ind w:hanging="0" w:start="720" w:end="0"/>
        <w:jc w:val="both"/>
        <w:rPr/>
      </w:pPr>
      <w:r>
        <w:rPr/>
      </w:r>
    </w:p>
    <w:p>
      <w:pPr>
        <w:pStyle w:val="BodyText"/>
        <w:jc w:val="both"/>
        <w:rPr/>
      </w:pPr>
      <w:r>
        <w:rPr/>
        <w:t>IN WITNESS WHEREOF, the undersigned have executed this Option Agreement this day and year first above written.</w:t>
      </w:r>
    </w:p>
    <w:p>
      <w:pPr>
        <w:pStyle w:val="SignatureCenter"/>
        <w:ind w:start="4320" w:end="0"/>
        <w:jc w:val="both"/>
        <w:rPr/>
      </w:pPr>
      <w:r>
        <w:rPr/>
      </w:r>
    </w:p>
    <w:p>
      <w:pPr>
        <w:pStyle w:val="SignatureBlank"/>
        <w:tabs>
          <w:tab w:val="clear" w:pos="9360"/>
        </w:tabs>
        <w:spacing w:before="0" w:after="0"/>
        <w:ind w:start="3600" w:end="0"/>
        <w:jc w:val="both"/>
        <w:rPr>
          <w:b/>
          <w:u w:val="none"/>
        </w:rPr>
      </w:pPr>
      <w:r>
        <w:rPr>
          <w:b/>
          <w:u w:val="none"/>
        </w:rPr>
        <w:t>COWLITZ SEWER OPERATING BOARD</w:t>
      </w:r>
    </w:p>
    <w:p>
      <w:pPr>
        <w:pStyle w:val="SignatureBlank"/>
        <w:tabs>
          <w:tab w:val="clear" w:pos="9360"/>
        </w:tabs>
        <w:spacing w:before="0" w:after="0"/>
        <w:ind w:start="3600" w:end="0"/>
        <w:jc w:val="both"/>
        <w:rPr>
          <w:u w:val="none"/>
        </w:rPr>
      </w:pPr>
      <w:r>
        <w:rPr>
          <w:u w:val="none"/>
        </w:rPr>
        <w:t>a _______________________</w:t>
      </w:r>
    </w:p>
    <w:p>
      <w:pPr>
        <w:pStyle w:val="SignatureBy"/>
        <w:tabs>
          <w:tab w:val="clear" w:pos="9360"/>
        </w:tabs>
        <w:spacing w:before="0" w:after="0"/>
        <w:ind w:start="3600" w:end="0"/>
        <w:jc w:val="both"/>
        <w:rPr>
          <w:u w:val="none"/>
        </w:rPr>
      </w:pPr>
      <w:r>
        <w:rPr>
          <w:u w:val="none"/>
        </w:rPr>
      </w:r>
    </w:p>
    <w:p>
      <w:pPr>
        <w:pStyle w:val="SignatureBy"/>
        <w:tabs>
          <w:tab w:val="clear" w:pos="9360"/>
        </w:tabs>
        <w:spacing w:before="0" w:after="0"/>
        <w:ind w:start="3600" w:end="0"/>
        <w:jc w:val="both"/>
        <w:rPr/>
      </w:pPr>
      <w:r>
        <w:rPr/>
      </w:r>
    </w:p>
    <w:p>
      <w:pPr>
        <w:pStyle w:val="SignatureBy"/>
        <w:tabs>
          <w:tab w:val="clear" w:pos="9360"/>
        </w:tabs>
        <w:spacing w:before="0" w:after="0"/>
        <w:ind w:start="3600" w:end="0"/>
        <w:jc w:val="both"/>
        <w:rPr/>
      </w:pPr>
      <w:r>
        <w:rPr/>
        <w:t>By:</w:t>
      </w:r>
      <w:r>
        <w:rPr>
          <w:u w:val="single"/>
        </w:rPr>
        <w:tab/>
        <w:tab/>
        <w:tab/>
        <w:tab/>
        <w:tab/>
        <w:tab/>
      </w:r>
    </w:p>
    <w:p>
      <w:pPr>
        <w:pStyle w:val="SignatureTitle"/>
        <w:tabs>
          <w:tab w:val="clear" w:pos="9360"/>
        </w:tabs>
        <w:ind w:start="3600" w:end="0"/>
        <w:jc w:val="both"/>
        <w:rPr/>
      </w:pPr>
      <w:r>
        <w:rPr/>
        <w:t>Name:</w:t>
      </w:r>
      <w:r>
        <w:rPr>
          <w:u w:val="single"/>
        </w:rPr>
        <w:tab/>
        <w:tab/>
        <w:tab/>
        <w:tab/>
        <w:tab/>
        <w:tab/>
      </w:r>
    </w:p>
    <w:p>
      <w:pPr>
        <w:pStyle w:val="SignatureTitle"/>
        <w:tabs>
          <w:tab w:val="clear" w:pos="9360"/>
        </w:tabs>
        <w:ind w:start="3600" w:end="0"/>
        <w:jc w:val="both"/>
        <w:rPr/>
      </w:pPr>
      <w:r>
        <w:rPr/>
        <w:t>Title:</w:t>
      </w:r>
      <w:r>
        <w:rPr>
          <w:u w:val="single"/>
        </w:rPr>
        <w:tab/>
        <w:tab/>
        <w:tab/>
        <w:tab/>
        <w:tab/>
        <w:tab/>
      </w:r>
    </w:p>
    <w:p>
      <w:pPr>
        <w:pStyle w:val="SignatureTitle"/>
        <w:tabs>
          <w:tab w:val="clear" w:pos="9360"/>
        </w:tabs>
        <w:ind w:start="3600" w:end="0"/>
        <w:jc w:val="both"/>
        <w:rPr>
          <w:u w:val="single"/>
        </w:rPr>
      </w:pPr>
      <w:r>
        <w:rPr>
          <w:u w:val="single"/>
        </w:rPr>
      </w:r>
    </w:p>
    <w:p>
      <w:pPr>
        <w:pStyle w:val="SignatureTitle"/>
        <w:tabs>
          <w:tab w:val="clear" w:pos="9360"/>
        </w:tabs>
        <w:ind w:start="3600" w:end="0"/>
        <w:jc w:val="both"/>
        <w:rPr/>
      </w:pPr>
      <w:r>
        <w:rPr/>
      </w:r>
    </w:p>
    <w:p>
      <w:pPr>
        <w:pStyle w:val="SignatureCenter"/>
        <w:ind w:start="3600" w:end="0"/>
        <w:jc w:val="both"/>
        <w:rPr/>
      </w:pPr>
      <w:r>
        <w:rPr/>
      </w:r>
    </w:p>
    <w:p>
      <w:pPr>
        <w:pStyle w:val="SignatureBlank"/>
        <w:tabs>
          <w:tab w:val="clear" w:pos="9360"/>
        </w:tabs>
        <w:spacing w:before="0" w:after="0"/>
        <w:ind w:start="3600" w:end="0"/>
        <w:jc w:val="both"/>
        <w:rPr>
          <w:b/>
          <w:u w:val="none"/>
        </w:rPr>
      </w:pPr>
      <w:r>
        <w:rPr>
          <w:b/>
          <w:u w:val="none"/>
        </w:rPr>
        <w:t>LONGVIEW ENERGY DEVELOPMENT, L.L.C.</w:t>
      </w:r>
    </w:p>
    <w:p>
      <w:pPr>
        <w:pStyle w:val="SignatureBlank"/>
        <w:tabs>
          <w:tab w:val="clear" w:pos="9360"/>
        </w:tabs>
        <w:spacing w:before="0" w:after="0"/>
        <w:ind w:start="3600" w:end="0"/>
        <w:jc w:val="both"/>
        <w:rPr>
          <w:u w:val="none"/>
        </w:rPr>
      </w:pPr>
      <w:r>
        <w:rPr>
          <w:u w:val="none"/>
        </w:rPr>
        <w:t>a Delaware limited liability company</w:t>
      </w:r>
    </w:p>
    <w:p>
      <w:pPr>
        <w:pStyle w:val="SignatureBy"/>
        <w:tabs>
          <w:tab w:val="clear" w:pos="9360"/>
        </w:tabs>
        <w:spacing w:before="0" w:after="0"/>
        <w:ind w:start="3600" w:end="0"/>
        <w:jc w:val="both"/>
        <w:rPr>
          <w:u w:val="none"/>
        </w:rPr>
      </w:pPr>
      <w:r>
        <w:rPr>
          <w:u w:val="none"/>
        </w:rPr>
      </w:r>
    </w:p>
    <w:p>
      <w:pPr>
        <w:pStyle w:val="SignatureBy"/>
        <w:tabs>
          <w:tab w:val="clear" w:pos="9360"/>
        </w:tabs>
        <w:spacing w:before="0" w:after="0"/>
        <w:ind w:start="3600" w:end="0"/>
        <w:jc w:val="both"/>
        <w:rPr/>
      </w:pPr>
      <w:r>
        <w:rPr/>
      </w:r>
    </w:p>
    <w:p>
      <w:pPr>
        <w:pStyle w:val="SignatureBy"/>
        <w:tabs>
          <w:tab w:val="clear" w:pos="9360"/>
        </w:tabs>
        <w:spacing w:before="0" w:after="0"/>
        <w:ind w:start="3600" w:end="0"/>
        <w:jc w:val="both"/>
        <w:rPr/>
      </w:pPr>
      <w:r>
        <w:rPr/>
        <w:t>By:</w:t>
      </w:r>
      <w:r>
        <w:rPr>
          <w:u w:val="single"/>
        </w:rPr>
        <w:tab/>
        <w:tab/>
        <w:tab/>
        <w:tab/>
        <w:tab/>
        <w:tab/>
      </w:r>
    </w:p>
    <w:p>
      <w:pPr>
        <w:pStyle w:val="SignatureTitle"/>
        <w:tabs>
          <w:tab w:val="clear" w:pos="9360"/>
        </w:tabs>
        <w:ind w:start="3600" w:end="0"/>
        <w:jc w:val="both"/>
        <w:rPr/>
      </w:pPr>
      <w:r>
        <w:rPr/>
        <w:t>Name:</w:t>
      </w:r>
      <w:r>
        <w:rPr>
          <w:u w:val="single"/>
        </w:rPr>
        <w:tab/>
        <w:tab/>
        <w:tab/>
        <w:tab/>
        <w:tab/>
        <w:tab/>
      </w:r>
    </w:p>
    <w:p>
      <w:pPr>
        <w:pStyle w:val="SignatureTitle"/>
        <w:tabs>
          <w:tab w:val="clear" w:pos="9360"/>
        </w:tabs>
        <w:ind w:start="3600" w:end="0"/>
        <w:jc w:val="both"/>
        <w:rPr/>
      </w:pPr>
      <w:r>
        <w:rPr/>
        <w:t>Title:</w:t>
      </w:r>
      <w:r>
        <w:rPr>
          <w:u w:val="single"/>
        </w:rPr>
        <w:tab/>
        <w:tab/>
        <w:tab/>
        <w:tab/>
        <w:tab/>
        <w:tab/>
      </w:r>
    </w:p>
    <w:p>
      <w:pPr>
        <w:pStyle w:val="SignatureBy"/>
        <w:tabs>
          <w:tab w:val="clear" w:pos="9360"/>
        </w:tabs>
        <w:spacing w:before="0" w:after="0"/>
        <w:ind w:start="3600" w:end="0"/>
        <w:jc w:val="both"/>
        <w:rPr>
          <w:u w:val="single"/>
        </w:rPr>
      </w:pPr>
      <w:r>
        <w:rPr>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lang w:val="en-CA" w:eastAsia="en-CA"/>
      </w:rPr>
    </w:pPr>
    <w:r>
      <w:rPr>
        <w:lang w:val="en-CA" w:eastAsia="en-CA"/>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w:t>
    </w:r>
    <w:r>
      <w:rPr>
        <w:rStyle w:val="PageNumber"/>
        <w:lang w:val="en-CA" w:eastAsia="en-CA"/>
      </w:rPr>
      <w:fldChar w:fldCharType="end"/>
    </w:r>
  </w:p>
  <w:p>
    <w:pPr>
      <w:pStyle w:val="Footer"/>
      <w:rPr/>
    </w:pPr>
    <w:bookmarkStart w:id="0" w:name="DocID"/>
    <w:r>
      <w:rPr>
        <w:rStyle w:val="PageNumber"/>
        <w:sz w:val="16"/>
        <w:lang w:val="en-CA" w:eastAsia="en-CA"/>
      </w:rPr>
      <w:t>Portlnd2-4297570.2  0032501-00005</w:t>
    </w:r>
    <w:bookmarkEnd w:id="0"/>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firstLine="1440"/>
      </w:pPr>
      <w:rPr>
        <w:smallCaps w:val="false"/>
        <w:caps w:val="false"/>
        <w:sz w:val="24"/>
        <w:i w:val="false"/>
        <w:u w:val="none"/>
        <w:b w:val="false"/>
        <w:rFonts w:ascii="Times New Roman" w:hAnsi="Times New Roman" w:cs="Times New Roman"/>
      </w:rPr>
    </w:lvl>
    <w:lvl w:ilvl="1">
      <w:start w:val="1"/>
      <w:pStyle w:val="Heading2"/>
      <w:numFmt w:val="lowerLetter"/>
      <w:lvlText w:val="(%2)"/>
      <w:lvlJc w:val="start"/>
      <w:pPr>
        <w:tabs>
          <w:tab w:val="num" w:pos="72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pStyle w:val="Heading3"/>
      <w:isLgl/>
      <w:numFmt w:val="decimal"/>
      <w:lvlText w:val="%1.%2.%3"/>
      <w:lvlJc w:val="start"/>
      <w:pPr>
        <w:tabs>
          <w:tab w:val="num" w:pos="2160"/>
        </w:tabs>
        <w:ind w:start="0" w:firstLine="1440"/>
      </w:pPr>
      <w:rPr>
        <w:smallCaps w:val="false"/>
        <w:caps w:val="false"/>
        <w:sz w:val="24"/>
        <w:i w:val="false"/>
        <w:u w:val="none"/>
        <w:b w:val="false"/>
        <w:rFonts w:ascii="Times New Roman" w:hAnsi="Times New Roman" w:cs="Times New Roman"/>
      </w:rPr>
    </w:lvl>
    <w:lvl w:ilvl="3">
      <w:start w:val="1"/>
      <w:pStyle w:val="Heading4"/>
      <w:numFmt w:val="upperLetter"/>
      <w:lvlText w:val="%4."/>
      <w:lvlJc w:val="start"/>
      <w:pPr>
        <w:tabs>
          <w:tab w:val="num" w:pos="2880"/>
        </w:tabs>
        <w:ind w:start="0" w:firstLine="2160"/>
      </w:pPr>
      <w:rPr>
        <w:smallCaps w:val="false"/>
        <w:caps w:val="false"/>
        <w:sz w:val="24"/>
        <w:i w:val="false"/>
        <w:u w:val="none"/>
        <w:b w:val="false"/>
        <w:rFonts w:ascii="Times New Roman" w:hAnsi="Times New Roman" w:cs="Times New Roman"/>
      </w:rPr>
    </w:lvl>
    <w:lvl w:ilvl="4">
      <w:start w:val="1"/>
      <w:pStyle w:val="Heading5"/>
      <w:numFmt w:val="lowerLetter"/>
      <w:lvlText w:val="(%5)"/>
      <w:lvlJc w:val="start"/>
      <w:pPr>
        <w:tabs>
          <w:tab w:val="num" w:pos="3600"/>
        </w:tabs>
        <w:ind w:start="0" w:firstLine="2880"/>
      </w:pPr>
      <w:rPr>
        <w:smallCaps w:val="false"/>
        <w:caps w:val="false"/>
        <w:sz w:val="24"/>
        <w:i w:val="false"/>
        <w:u w:val="none"/>
        <w:b w:val="false"/>
        <w:rFonts w:ascii="Times New Roman" w:hAnsi="Times New Roman" w:cs="Times New Roman"/>
      </w:rPr>
    </w:lvl>
    <w:lvl w:ilvl="5">
      <w:start w:val="1"/>
      <w:pStyle w:val="Heading6"/>
      <w:numFmt w:val="lowerRoman"/>
      <w:lvlText w:val="(%6)"/>
      <w:lvlJc w:val="start"/>
      <w:pPr>
        <w:tabs>
          <w:tab w:val="num" w:pos="4320"/>
        </w:tabs>
        <w:ind w:start="0" w:firstLine="3600"/>
      </w:pPr>
      <w:rPr>
        <w:smallCaps w:val="false"/>
        <w:caps w:val="false"/>
        <w:sz w:val="24"/>
        <w:i w:val="false"/>
        <w:u w:val="none"/>
        <w:b w:val="false"/>
        <w:rFonts w:ascii="Times New Roman" w:hAnsi="Times New Roman" w:cs="Times New Roman"/>
      </w:rPr>
    </w:lvl>
    <w:lvl w:ilvl="6">
      <w:start w:val="1"/>
      <w:pStyle w:val="Heading7"/>
      <w:numFmt w:val="none"/>
      <w:suff w:val="nothing"/>
      <w:lvlText w:val="%7"/>
      <w:lvlJc w:val="start"/>
      <w:pPr>
        <w:tabs>
          <w:tab w:val="num" w:pos="0"/>
        </w:tabs>
        <w:ind w:start="720" w:hanging="720"/>
      </w:pPr>
    </w:lvl>
    <w:lvl w:ilvl="7">
      <w:start w:val="1"/>
      <w:pStyle w:val="Heading8"/>
      <w:numFmt w:val="none"/>
      <w:suff w:val="nothing"/>
      <w:lvlText w:val="%8"/>
      <w:lvlJc w:val="start"/>
      <w:pPr>
        <w:tabs>
          <w:tab w:val="num" w:pos="0"/>
        </w:tabs>
        <w:ind w:start="720" w:hanging="720"/>
      </w:pPr>
    </w:lvl>
    <w:lvl w:ilvl="8">
      <w:start w:val="1"/>
      <w:pStyle w:val="Heading9"/>
      <w:numFmt w:val="none"/>
      <w:suff w:val="nothing"/>
      <w:lvlText w:val="%9"/>
      <w:lvlJc w:val="start"/>
      <w:pPr>
        <w:tabs>
          <w:tab w:val="num" w:pos="0"/>
        </w:tabs>
        <w:ind w:start="720" w:hanging="720"/>
      </w:pPr>
    </w:lvl>
  </w:abstractNum>
  <w:abstractNum w:abstractNumId="2">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1440"/>
        </w:tabs>
        <w:ind w:start="0" w:firstLine="720"/>
      </w:pPr>
    </w:lvl>
    <w:lvl w:ilvl="2">
      <w:start w:val="1"/>
      <w:isLgl/>
      <w:numFmt w:val="decimal"/>
      <w:lvlText w:val="%1.%2.%3"/>
      <w:lvlJc w:val="start"/>
      <w:pPr>
        <w:tabs>
          <w:tab w:val="num" w:pos="2160"/>
        </w:tabs>
        <w:ind w:start="0" w:firstLine="1440"/>
      </w:pPr>
    </w:lvl>
    <w:lvl w:ilvl="3">
      <w:start w:val="1"/>
      <w:isLgl/>
      <w:numFmt w:val="decimal"/>
      <w:lvlText w:val="%1.%2.%3.%4"/>
      <w:lvlJc w:val="start"/>
      <w:pPr>
        <w:tabs>
          <w:tab w:val="num" w:pos="2880"/>
        </w:tabs>
        <w:ind w:start="0" w:firstLine="2160"/>
      </w:pPr>
    </w:lvl>
    <w:lvl w:ilvl="4">
      <w:start w:val="1"/>
      <w:isLgl/>
      <w:numFmt w:val="decimal"/>
      <w:suff w:val="nothing"/>
      <w:lvlText w:val="%1.%2.%3.%4.%5"/>
      <w:lvlJc w:val="start"/>
      <w:pPr>
        <w:tabs>
          <w:tab w:val="num" w:pos="0"/>
        </w:tabs>
        <w:ind w:start="0" w:firstLine="3600"/>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0"/>
      <w:numFmt w:val="none"/>
      <w:suff w:val="nothing"/>
      <w:lvlText w:val=""/>
      <w:lvlJc w:val="start"/>
      <w:pPr>
        <w:tabs>
          <w:tab w:val="num" w:pos="36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HNLevel1" w:val="1:                  N1O1.         &lt;tab&gt; 00 00 ABius"/>
    <w:docVar w:name="HNLevel2" w:val="2:                 (N2Oa)         &lt;tab&gt; 00 05 abius"/>
    <w:docVar w:name="HNLevel3" w:val="3:                             00 10 abius"/>
    <w:docVar w:name="HNLevel4" w:val="4:                             00 15 abius"/>
    <w:docVar w:name="HNLevel5" w:val="5:                             00 20 aBiUs"/>
    <w:docVar w:name="HNLevel6" w:val="6:                             00 25 aBiUs"/>
    <w:docVar w:name="HNLevel7" w:val="7:                             00 30 abius"/>
    <w:docVar w:name="HNLevel8" w:val="8:                             00 35 abius"/>
    <w:docVar w:name="HNLevel9" w:val="9:                             00 40 abius"/>
    <w:docVar w:name="SetLevelCalledFrom" w:val="CommandBar Button"/>
    <w:docVar w:name="SetLevelGallerySelect" w:val="Done"/>
    <w:docVar w:name="trailer" w:val="none"/>
    <w:docVar w:name="TrlrDateFlag" w:val="0"/>
    <w:docVar w:name="TrlrDOSFlag" w:val="0"/>
    <w:docVar w:name="TrlrDraftFlag" w:val="0"/>
    <w:docVar w:name="TrlrMatter" w:val="025976-0044"/>
    <w:docVar w:name="TrlrMatterFlag" w:val="0"/>
    <w:docVar w:name="TrlrRedlineFlag" w:val="0"/>
    <w:docVar w:name="TrlrTimeFlag" w:val="0"/>
    <w:docVar w:name="TrlrTypeFlag" w:val="1"/>
    <w:docVar w:name="WPClean"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0" w:after="240"/>
      <w:outlineLvl w:val="0"/>
    </w:pPr>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b/>
      <w:u w:val="single"/>
    </w:rPr>
  </w:style>
  <w:style w:type="paragraph" w:styleId="Heading6">
    <w:name w:val="heading 6"/>
    <w:basedOn w:val="Normal"/>
    <w:next w:val="BodyText"/>
    <w:qFormat/>
    <w:pPr>
      <w:numPr>
        <w:ilvl w:val="5"/>
        <w:numId w:val="1"/>
      </w:numPr>
      <w:spacing w:before="0" w:after="240"/>
      <w:outlineLvl w:val="5"/>
    </w:pPr>
    <w:rPr>
      <w:b/>
      <w:u w:val="single"/>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rFonts w:ascii="Times New Roman" w:hAnsi="Times New Roman" w:cs="Times New Roman"/>
      <w:b w:val="false"/>
      <w:i/>
      <w:caps w:val="false"/>
      <w:smallCaps w:val="false"/>
      <w:color w:val="000000"/>
      <w:sz w:val="24"/>
      <w:u w:val="none"/>
    </w:rPr>
  </w:style>
  <w:style w:type="character" w:styleId="WW8Num1z1">
    <w:name w:val="WW8Num1z1"/>
    <w:qFormat/>
    <w:rPr>
      <w:rFonts w:ascii="Times New Roman" w:hAnsi="Times New Roman" w:cs="Times New Roman"/>
      <w:b w:val="false"/>
      <w:i w:val="false"/>
      <w:caps w:val="false"/>
      <w:smallCaps w:val="false"/>
      <w:color w:val="000000"/>
      <w:sz w:val="24"/>
      <w:u w:val="none"/>
    </w:rPr>
  </w:style>
  <w:style w:type="character" w:styleId="WW8Num2z0">
    <w:name w:val="WW8Num2z0"/>
    <w:qFormat/>
    <w:rPr>
      <w:rFonts w:ascii="Times New Roman" w:hAnsi="Times New Roman" w:cs="Times New Roman"/>
      <w:b w:val="false"/>
      <w:i w:val="false"/>
      <w:caps w:val="false"/>
      <w:smallCaps w:val="false"/>
      <w:sz w:val="24"/>
      <w:u w:val="no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2">
    <w:name w:val="WW8Num2z2"/>
    <w:qFormat/>
    <w:rPr>
      <w:rFonts w:ascii="Times New Roman" w:hAnsi="Times New Roman" w:cs="Times New Roman"/>
      <w:b w:val="false"/>
      <w:i w:val="false"/>
      <w:caps w:val="false"/>
      <w:smallCaps w:val="false"/>
      <w:sz w:val="24"/>
      <w:u w:val="none"/>
    </w:rPr>
  </w:style>
  <w:style w:type="character" w:styleId="WW8Num3z1">
    <w:name w:val="WW8Num3z1"/>
    <w:qFormat/>
    <w:rPr>
      <w:b/>
    </w:rPr>
  </w:style>
  <w:style w:type="character" w:styleId="WW8Num3z3">
    <w:name w:val="WW8Num3z3"/>
    <w:qFormat/>
    <w:rPr>
      <w:caps w:val="false"/>
      <w:smallCaps w:val="false"/>
    </w:rPr>
  </w:style>
  <w:style w:type="character" w:styleId="DefaultParagraphFont">
    <w:name w:val="Default Paragraph Font"/>
    <w:qFormat/>
    <w:rPr>
      <w:rFonts w:ascii="Times New Roman" w:hAnsi="Times New Roman" w:cs="Times New Roman"/>
      <w:sz w:val="24"/>
    </w:rPr>
  </w:style>
  <w:style w:type="character" w:styleId="FootnoteCharacters">
    <w:name w:val="Footnote Characters"/>
    <w:basedOn w:val="DefaultParagraphFont"/>
    <w:qFormat/>
    <w:rPr>
      <w:vertAlign w:val="superscript"/>
      <w:lang w:val="en-US"/>
    </w:rPr>
  </w:style>
  <w:style w:type="character" w:styleId="PageNumber">
    <w:name w:val="page number"/>
    <w:basedOn w:val="DefaultParagraphFont"/>
    <w:rPr>
      <w:lang w:val="en-US"/>
    </w:rPr>
  </w:style>
  <w:style w:type="paragraph" w:styleId="Heading">
    <w:name w:val="Heading"/>
    <w:basedOn w:val="Normal"/>
    <w:next w:val="BodyText"/>
    <w:qFormat/>
    <w:pPr>
      <w:spacing w:before="240" w:after="60"/>
      <w:jc w:val="center"/>
    </w:pPr>
    <w:rPr>
      <w:b/>
      <w:kern w:val="2"/>
      <w:sz w:val="3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LetterClosing">
    <w:name w:val="LetterClosing"/>
    <w:basedOn w:val="Normal"/>
    <w:qFormat/>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AnnotationText">
    <w:name w:val="Annotation Text"/>
    <w:basedOn w:val="Normal"/>
    <w:qFormat/>
    <w:pPr/>
    <w:rPr>
      <w:sz w:val="20"/>
    </w:rPr>
  </w:style>
  <w:style w:type="paragraph" w:styleId="BodyTextIndent">
    <w:name w:val="Body Text Indent"/>
    <w:basedOn w:val="Normal"/>
    <w:next w:val="BodyText"/>
    <w:pPr>
      <w:spacing w:before="0" w:after="240"/>
      <w:ind w:hanging="0" w:start="720" w:end="0"/>
    </w:pPr>
    <w:rPr/>
  </w:style>
  <w:style w:type="paragraph" w:styleId="BodyTextContinued">
    <w:name w:val="Body Text Continued"/>
    <w:basedOn w:val="BodyText"/>
    <w:next w:val="BodyText"/>
    <w:qFormat/>
    <w:pPr>
      <w:ind w:hanging="0" w:start="0" w:end="0"/>
    </w:pPr>
    <w:rPr/>
  </w:style>
  <w:style w:type="paragraph" w:styleId="Closing">
    <w:name w:val="Closing"/>
    <w:basedOn w:val="Normal"/>
    <w:qFormat/>
    <w:pPr>
      <w:ind w:hanging="0" w:start="4320" w:end="0"/>
    </w:pPr>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120" w:after="0"/>
      <w:ind w:hanging="720" w:start="720" w:end="0"/>
    </w:pPr>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center" w:pos="5040" w:leader="none"/>
        <w:tab w:val="right" w:pos="9360" w:leader="none"/>
      </w:tabs>
      <w:spacing w:lineRule="exact" w:line="240"/>
      <w:ind w:hanging="0" w:start="4680" w:end="0"/>
    </w:pPr>
    <w:rPr/>
  </w:style>
  <w:style w:type="paragraph" w:styleId="ReLine">
    <w:name w:val="ReLine"/>
    <w:basedOn w:val="Normal"/>
    <w:next w:val="Normal"/>
    <w:qFormat/>
    <w:pPr>
      <w:spacing w:before="0" w:after="240"/>
      <w:ind w:hanging="720" w:start="2160" w:end="0"/>
    </w:pPr>
    <w:rPr/>
  </w:style>
  <w:style w:type="paragraph" w:styleId="SDP">
    <w:name w:val="SDP"/>
    <w:basedOn w:val="Normal"/>
    <w:next w:val="Normal"/>
    <w:qFormat/>
    <w:pPr>
      <w:spacing w:before="0" w:after="240"/>
    </w:pPr>
    <w:rPr>
      <w:b/>
      <w:u w:val="single"/>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i/>
    </w:rPr>
  </w:style>
  <w:style w:type="paragraph" w:styleId="TableofAuthorities">
    <w:name w:val="Table of Authorities"/>
    <w:basedOn w:val="Normal"/>
    <w:next w:val="Normal"/>
    <w:qFormat/>
    <w:pPr>
      <w:tabs>
        <w:tab w:val="clear" w:pos="720"/>
        <w:tab w:val="left" w:pos="8640" w:leader="none"/>
      </w:tabs>
      <w:ind w:hanging="202" w:start="202" w:end="0"/>
    </w:pPr>
    <w:rPr/>
  </w:style>
  <w:style w:type="paragraph" w:styleId="TOAHeading">
    <w:name w:val="TOA Heading"/>
    <w:basedOn w:val="Normal"/>
    <w:next w:val="Normal"/>
    <w:qFormat/>
    <w:pPr>
      <w:spacing w:before="240" w:after="120"/>
    </w:pPr>
    <w:rPr>
      <w:b/>
      <w:caps/>
    </w:rPr>
  </w:style>
  <w:style w:type="paragraph" w:styleId="TOC1">
    <w:name w:val="toc 1"/>
    <w:basedOn w:val="Normal"/>
    <w:pPr>
      <w:keepNext w:val="true"/>
      <w:keepLines/>
      <w:widowControl w:val="false"/>
      <w:tabs>
        <w:tab w:val="clear" w:pos="720"/>
        <w:tab w:val="right" w:pos="9360" w:leader="dot"/>
      </w:tabs>
      <w:spacing w:before="0" w:after="240"/>
      <w:ind w:hanging="720" w:start="720" w:end="720"/>
    </w:pPr>
    <w:rPr/>
  </w:style>
  <w:style w:type="paragraph" w:styleId="TOC2">
    <w:name w:val="toc 2"/>
    <w:basedOn w:val="Normal"/>
    <w:pPr>
      <w:keepNext w:val="true"/>
      <w:keepLines/>
      <w:widowControl w:val="false"/>
      <w:tabs>
        <w:tab w:val="clear" w:pos="720"/>
        <w:tab w:val="right" w:pos="9360" w:leader="dot"/>
      </w:tabs>
      <w:ind w:hanging="720" w:start="1440" w:end="720"/>
    </w:pPr>
    <w:rPr/>
  </w:style>
  <w:style w:type="paragraph" w:styleId="TOC3">
    <w:name w:val="toc 3"/>
    <w:basedOn w:val="Normal"/>
    <w:pPr>
      <w:keepNext w:val="true"/>
      <w:keepLines/>
      <w:widowControl w:val="false"/>
      <w:tabs>
        <w:tab w:val="clear" w:pos="720"/>
        <w:tab w:val="right" w:pos="9360" w:leader="dot"/>
      </w:tabs>
      <w:ind w:hanging="720" w:start="2160" w:end="720"/>
    </w:pPr>
    <w:rPr/>
  </w:style>
  <w:style w:type="paragraph" w:styleId="TOC4">
    <w:name w:val="toc 4"/>
    <w:basedOn w:val="Normal"/>
    <w:pPr>
      <w:keepNext w:val="true"/>
      <w:keepLines/>
      <w:widowControl w:val="false"/>
      <w:tabs>
        <w:tab w:val="clear" w:pos="720"/>
        <w:tab w:val="right" w:pos="9360" w:leader="dot"/>
      </w:tabs>
      <w:ind w:hanging="720" w:start="2880" w:end="720"/>
    </w:pPr>
    <w:rPr/>
  </w:style>
  <w:style w:type="paragraph" w:styleId="TOC5">
    <w:name w:val="toc 5"/>
    <w:basedOn w:val="Normal"/>
    <w:pPr>
      <w:keepNext w:val="true"/>
      <w:keepLines/>
      <w:widowControl w:val="false"/>
      <w:tabs>
        <w:tab w:val="clear" w:pos="720"/>
        <w:tab w:val="right" w:pos="9360" w:leader="dot"/>
      </w:tabs>
      <w:ind w:hanging="720" w:start="3600" w:end="720"/>
    </w:pPr>
    <w:rPr/>
  </w:style>
  <w:style w:type="paragraph" w:styleId="TOC6">
    <w:name w:val="toc 6"/>
    <w:basedOn w:val="Normal"/>
    <w:pPr>
      <w:keepNext w:val="true"/>
      <w:keepLines/>
      <w:widowControl w:val="false"/>
      <w:tabs>
        <w:tab w:val="clear" w:pos="720"/>
        <w:tab w:val="right" w:pos="9360" w:leader="dot"/>
      </w:tabs>
      <w:ind w:hanging="720" w:start="4320" w:end="720"/>
    </w:pPr>
    <w:rPr/>
  </w:style>
  <w:style w:type="paragraph" w:styleId="TOC7">
    <w:name w:val="toc 7"/>
    <w:basedOn w:val="Normal"/>
    <w:pPr>
      <w:keepNext w:val="true"/>
      <w:keepLines/>
      <w:widowControl w:val="false"/>
      <w:tabs>
        <w:tab w:val="clear" w:pos="720"/>
        <w:tab w:val="right" w:pos="9360" w:leader="dot"/>
      </w:tabs>
      <w:ind w:hanging="720" w:start="5040" w:end="720"/>
    </w:pPr>
    <w:rPr/>
  </w:style>
  <w:style w:type="paragraph" w:styleId="TOC8">
    <w:name w:val="toc 8"/>
    <w:basedOn w:val="Normal"/>
    <w:pPr>
      <w:keepNext w:val="true"/>
      <w:keepLines/>
      <w:widowControl w:val="false"/>
      <w:tabs>
        <w:tab w:val="clear" w:pos="720"/>
        <w:tab w:val="right" w:pos="9360" w:leader="dot"/>
      </w:tabs>
      <w:ind w:hanging="720" w:start="5760" w:end="720"/>
    </w:pPr>
    <w:rPr/>
  </w:style>
  <w:style w:type="paragraph" w:styleId="TOC9">
    <w:name w:val="toc 9"/>
    <w:basedOn w:val="Normal"/>
    <w:pPr>
      <w:keepNext w:val="true"/>
      <w:keepLines/>
      <w:widowControl w:val="false"/>
      <w:tabs>
        <w:tab w:val="clear" w:pos="720"/>
        <w:tab w:val="right" w:pos="9360" w:leader="dot"/>
      </w:tabs>
      <w:ind w:hanging="720" w:start="6480" w:end="720"/>
    </w:pPr>
    <w:rPr/>
  </w:style>
  <w:style w:type="paragraph" w:styleId="TitleCenter">
    <w:name w:val="TitleCenter"/>
    <w:basedOn w:val="Normal"/>
    <w:qFormat/>
    <w:pPr>
      <w:spacing w:before="0" w:after="240"/>
      <w:jc w:val="center"/>
    </w:pPr>
    <w:rPr>
      <w:u w:val="single"/>
    </w:rPr>
  </w:style>
  <w:style w:type="paragraph" w:styleId="AddressLine">
    <w:name w:val="AddressLine"/>
    <w:basedOn w:val="BodyText"/>
    <w:qFormat/>
    <w:pPr>
      <w:tabs>
        <w:tab w:val="clear" w:pos="720"/>
        <w:tab w:val="left" w:pos="2160" w:leader="none"/>
      </w:tabs>
      <w:spacing w:before="0" w:after="0"/>
      <w:ind w:firstLine="720" w:start="0" w:end="0"/>
    </w:pPr>
    <w:rPr/>
  </w:style>
  <w:style w:type="paragraph" w:styleId="SignatureBlank">
    <w:name w:val="SignatureBlank"/>
    <w:basedOn w:val="Normal"/>
    <w:qFormat/>
    <w:pPr>
      <w:tabs>
        <w:tab w:val="clear" w:pos="720"/>
        <w:tab w:val="right" w:pos="9360" w:leader="none"/>
      </w:tabs>
      <w:spacing w:before="0" w:after="240"/>
      <w:ind w:hanging="0" w:start="5040" w:end="0"/>
    </w:pPr>
    <w:rPr>
      <w:u w:val="single"/>
    </w:rPr>
  </w:style>
  <w:style w:type="paragraph" w:styleId="SignatureBy">
    <w:name w:val="SignatureBy"/>
    <w:basedOn w:val="Normal"/>
    <w:qFormat/>
    <w:pPr>
      <w:tabs>
        <w:tab w:val="clear" w:pos="720"/>
        <w:tab w:val="right" w:pos="9360" w:leader="none"/>
      </w:tabs>
      <w:spacing w:before="0" w:after="240"/>
      <w:ind w:hanging="0" w:start="5040" w:end="0"/>
    </w:pPr>
    <w:rPr/>
  </w:style>
  <w:style w:type="paragraph" w:styleId="SignatureTitle">
    <w:name w:val="SignatureTitle"/>
    <w:basedOn w:val="Normal"/>
    <w:qFormat/>
    <w:pPr>
      <w:tabs>
        <w:tab w:val="clear" w:pos="720"/>
        <w:tab w:val="right" w:pos="9360" w:leader="none"/>
      </w:tabs>
      <w:ind w:hanging="0" w:start="5040" w:end="0"/>
    </w:pPr>
    <w:rPr/>
  </w:style>
  <w:style w:type="paragraph" w:styleId="SignatureCenter">
    <w:name w:val="SignatureCenter"/>
    <w:basedOn w:val="Normal"/>
    <w:qFormat/>
    <w:pPr>
      <w:ind w:hanging="0" w:start="5040" w:end="0"/>
      <w:jc w:val="center"/>
    </w:pPr>
    <w:rPr/>
  </w:style>
  <w:style w:type="paragraph" w:styleId="NotarySS">
    <w:name w:val="NotarySS"/>
    <w:basedOn w:val="Normal"/>
    <w:qFormat/>
    <w:pPr>
      <w:tabs>
        <w:tab w:val="clear" w:pos="720"/>
        <w:tab w:val="left" w:pos="2880" w:leader="none"/>
      </w:tabs>
    </w:pPr>
    <w:rPr/>
  </w:style>
  <w:style w:type="paragraph" w:styleId="NotaryState">
    <w:name w:val="NotaryState"/>
    <w:basedOn w:val="Normal"/>
    <w:qFormat/>
    <w:pPr>
      <w:tabs>
        <w:tab w:val="clear" w:pos="720"/>
        <w:tab w:val="left" w:pos="2880" w:leader="none"/>
      </w:tabs>
    </w:pPr>
    <w:rPr/>
  </w:style>
  <w:style w:type="paragraph" w:styleId="NotarySignBlankLine">
    <w:name w:val="NotarySignBlankLine"/>
    <w:basedOn w:val="Normal"/>
    <w:qFormat/>
    <w:pPr>
      <w:tabs>
        <w:tab w:val="clear" w:pos="720"/>
        <w:tab w:val="right" w:pos="9360" w:leader="none"/>
      </w:tabs>
      <w:ind w:hanging="0" w:start="5040" w:end="0"/>
    </w:pPr>
    <w:rPr>
      <w:u w:val="single"/>
    </w:rPr>
  </w:style>
  <w:style w:type="paragraph" w:styleId="NotaryPublicLine">
    <w:name w:val="NotaryPublicLine"/>
    <w:basedOn w:val="NotarySignBlankLine"/>
    <w:qFormat/>
    <w:pPr>
      <w:spacing w:before="0" w:after="240"/>
    </w:pPr>
    <w:rPr>
      <w:u w:val="none"/>
    </w:rPr>
  </w:style>
  <w:style w:type="paragraph" w:styleId="NotaryCommExpire">
    <w:name w:val="NotaryCommExpire"/>
    <w:basedOn w:val="NotaryPublicLine"/>
    <w:qFormat/>
    <w:pPr/>
    <w:rPr/>
  </w:style>
  <w:style w:type="paragraph" w:styleId="BodyTextIndent2">
    <w:name w:val="Body Text Indent 2"/>
    <w:basedOn w:val="Normal"/>
    <w:qFormat/>
    <w:pPr>
      <w:keepLines/>
      <w:ind w:hanging="2160" w:start="2880" w:end="0"/>
    </w:pPr>
    <w:rPr/>
  </w:style>
  <w:style w:type="paragraph" w:styleId="SHDLegal">
    <w:name w:val="SHDLegal"/>
    <w:basedOn w:val="Normal"/>
    <w:qFormat/>
    <w:pPr>
      <w:keepNext w:val="true"/>
      <w:numPr>
        <w:ilvl w:val="0"/>
        <w:numId w:val="2"/>
      </w:numPr>
      <w:spacing w:before="240" w:after="0"/>
      <w:jc w:val="center"/>
    </w:pPr>
    <w:rPr>
      <w:b/>
    </w:rPr>
  </w:style>
  <w:style w:type="paragraph" w:styleId="SHDLegal1">
    <w:name w:val="SHDLegal 1"/>
    <w:basedOn w:val="Normal"/>
    <w:qFormat/>
    <w:pPr>
      <w:numPr>
        <w:ilvl w:val="0"/>
        <w:numId w:val="2"/>
      </w:numPr>
      <w:spacing w:before="240" w:after="0"/>
    </w:pPr>
    <w:rPr/>
  </w:style>
  <w:style w:type="paragraph" w:styleId="SHDLegal2">
    <w:name w:val="SHDLegal 2"/>
    <w:basedOn w:val="Normal"/>
    <w:qFormat/>
    <w:pPr>
      <w:numPr>
        <w:ilvl w:val="0"/>
        <w:numId w:val="2"/>
      </w:numPr>
      <w:spacing w:before="240" w:after="0"/>
    </w:pPr>
    <w:rPr/>
  </w:style>
  <w:style w:type="paragraph" w:styleId="BodyText2">
    <w:name w:val="Body Text 2"/>
    <w:basedOn w:val="Normal"/>
    <w:qFormat/>
    <w:pPr>
      <w:widowControl w:val="false"/>
      <w:spacing w:lineRule="auto" w:line="480"/>
      <w:ind w:firstLine="720" w:start="0" w:end="0"/>
    </w:pPr>
    <w:rPr>
      <w:rFonts w:ascii="CG Times" w:hAnsi="CG Times" w:cs="CG Time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2001-04-06T15:34:00Z</dcterms:created>
  <dc:creator>Tom O'Leary</dc:creator>
  <dc:description/>
  <dc:language>en-CA</dc:language>
  <cp:lastModifiedBy>lwente</cp:lastModifiedBy>
  <cp:lastPrinted>2001-02-23T08:48:00Z</cp:lastPrinted>
  <dcterms:modified xsi:type="dcterms:W3CDTF">2001-04-06T15:34:00Z</dcterms:modified>
  <cp:revision>2</cp:revision>
  <dc:subject/>
  <dc:title>#248572 v3 - SFC/FPL/Stateline -- LLC Option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Num(97/a) 08/10/1999 11:37:52 AM">
    <vt:lpwstr>&lt;Options&gt; by Tom O'Leary</vt:lpwstr>
  </property>
  <property fmtid="{D5CDD505-2E9C-101B-9397-08002B2CF9AE}" pid="3" name="WPClean 08/10/1999 11:29:38 AM">
    <vt:lpwstr>&lt;Document processed with L&amp;W WPClean&gt; by Tom O'Leary</vt:lpwstr>
  </property>
</Properties>
</file>